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2BF12">
      <w:pPr>
        <w:spacing w:line="600" w:lineRule="exact"/>
        <w:jc w:val="left"/>
        <w:rPr>
          <w:rFonts w:ascii="Arial" w:hAnsi="Arial" w:eastAsia="Symbol"/>
          <w:b/>
          <w:bCs/>
          <w:sz w:val="32"/>
          <w:szCs w:val="32"/>
          <w:highlight w:val="none"/>
        </w:rPr>
      </w:pPr>
    </w:p>
    <w:p w14:paraId="081DDA3B">
      <w:pPr>
        <w:pStyle w:val="8"/>
        <w:rPr>
          <w:rFonts w:hint="default"/>
          <w:highlight w:val="none"/>
        </w:rPr>
      </w:pPr>
    </w:p>
    <w:p w14:paraId="153AB5A8">
      <w:pPr>
        <w:spacing w:line="600" w:lineRule="exact"/>
        <w:jc w:val="center"/>
        <w:rPr>
          <w:rFonts w:ascii="Arial" w:hAnsi="Arial" w:eastAsia="宋体"/>
          <w:b/>
          <w:bCs/>
          <w:sz w:val="32"/>
          <w:szCs w:val="32"/>
          <w:highlight w:val="none"/>
        </w:rPr>
      </w:pPr>
    </w:p>
    <w:p w14:paraId="2C2E5918">
      <w:pPr>
        <w:spacing w:line="600" w:lineRule="exact"/>
        <w:jc w:val="center"/>
        <w:rPr>
          <w:rFonts w:ascii="Arial" w:hAnsi="Arial" w:eastAsia="宋体"/>
          <w:b/>
          <w:bCs/>
          <w:sz w:val="32"/>
          <w:szCs w:val="32"/>
          <w:highlight w:val="none"/>
        </w:rPr>
      </w:pPr>
    </w:p>
    <w:p w14:paraId="51392CB4">
      <w:pPr>
        <w:spacing w:line="600" w:lineRule="exact"/>
        <w:jc w:val="center"/>
        <w:rPr>
          <w:rFonts w:ascii="Arial" w:hAnsi="Arial" w:eastAsia="宋体"/>
          <w:b/>
          <w:bCs/>
          <w:sz w:val="32"/>
          <w:szCs w:val="32"/>
          <w:highlight w:val="none"/>
        </w:rPr>
      </w:pPr>
    </w:p>
    <w:p w14:paraId="666D6F8F">
      <w:pPr>
        <w:spacing w:line="600" w:lineRule="exact"/>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2026</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b/>
          <w:bCs/>
          <w:sz w:val="44"/>
          <w:szCs w:val="44"/>
          <w:highlight w:val="none"/>
          <w:lang w:val="en-US" w:eastAsia="zh-CN"/>
        </w:rPr>
        <w:t>巴彦淖尔市体育彩票销售管理中心</w:t>
      </w:r>
      <w:r>
        <w:rPr>
          <w:rFonts w:hint="eastAsia" w:ascii="方正小标宋简体" w:hAnsi="方正小标宋简体" w:eastAsia="方正小标宋简体" w:cs="方正小标宋简体"/>
          <w:sz w:val="44"/>
          <w:szCs w:val="44"/>
          <w:highlight w:val="none"/>
          <w:u w:val="single"/>
        </w:rPr>
        <w:t>单位</w:t>
      </w:r>
      <w:r>
        <w:rPr>
          <w:rFonts w:hint="eastAsia" w:ascii="方正小标宋简体" w:hAnsi="方正小标宋简体" w:eastAsia="方正小标宋简体" w:cs="方正小标宋简体"/>
          <w:sz w:val="44"/>
          <w:szCs w:val="44"/>
          <w:highlight w:val="none"/>
        </w:rPr>
        <w:t>预算公开</w:t>
      </w:r>
      <w:r>
        <w:rPr>
          <w:rFonts w:hint="eastAsia" w:ascii="方正小标宋简体" w:hAnsi="方正小标宋简体" w:eastAsia="方正小标宋简体" w:cs="方正小标宋简体"/>
          <w:sz w:val="44"/>
          <w:szCs w:val="44"/>
          <w:highlight w:val="none"/>
          <w:lang w:val="en-US" w:eastAsia="zh-CN"/>
        </w:rPr>
        <w:t>本级</w:t>
      </w:r>
    </w:p>
    <w:p w14:paraId="09BC5E05">
      <w:pPr>
        <w:adjustRightInd w:val="0"/>
        <w:snapToGrid w:val="0"/>
        <w:spacing w:line="600" w:lineRule="exact"/>
        <w:ind w:firstLine="640"/>
        <w:rPr>
          <w:rFonts w:ascii="Times New Roman" w:hAnsi="Times New Roman" w:eastAsia="仿宋_GB2312"/>
          <w:sz w:val="32"/>
          <w:szCs w:val="32"/>
          <w:highlight w:val="none"/>
        </w:rPr>
      </w:pPr>
    </w:p>
    <w:p w14:paraId="21496725">
      <w:pPr>
        <w:adjustRightInd w:val="0"/>
        <w:snapToGrid w:val="0"/>
        <w:spacing w:line="600" w:lineRule="exact"/>
        <w:ind w:firstLine="640"/>
        <w:rPr>
          <w:rFonts w:ascii="Times New Roman" w:hAnsi="Times New Roman" w:eastAsia="仿宋_GB2312"/>
          <w:sz w:val="32"/>
          <w:szCs w:val="32"/>
          <w:highlight w:val="none"/>
        </w:rPr>
      </w:pPr>
    </w:p>
    <w:p w14:paraId="515A3284">
      <w:pPr>
        <w:adjustRightInd w:val="0"/>
        <w:snapToGrid w:val="0"/>
        <w:spacing w:line="600" w:lineRule="exact"/>
        <w:ind w:firstLine="640"/>
        <w:rPr>
          <w:rFonts w:ascii="Times New Roman" w:hAnsi="Times New Roman" w:eastAsia="仿宋_GB2312"/>
          <w:sz w:val="32"/>
          <w:szCs w:val="32"/>
          <w:highlight w:val="none"/>
        </w:rPr>
      </w:pPr>
    </w:p>
    <w:p w14:paraId="6D094E99">
      <w:pPr>
        <w:adjustRightInd w:val="0"/>
        <w:snapToGrid w:val="0"/>
        <w:spacing w:line="600" w:lineRule="exact"/>
        <w:ind w:firstLine="640"/>
        <w:rPr>
          <w:rFonts w:ascii="Times New Roman" w:hAnsi="Times New Roman" w:eastAsia="仿宋_GB2312"/>
          <w:sz w:val="32"/>
          <w:szCs w:val="32"/>
          <w:highlight w:val="none"/>
        </w:rPr>
      </w:pPr>
    </w:p>
    <w:p w14:paraId="20EF95A3">
      <w:pPr>
        <w:adjustRightInd w:val="0"/>
        <w:snapToGrid w:val="0"/>
        <w:spacing w:line="600" w:lineRule="exact"/>
        <w:ind w:firstLine="640"/>
        <w:rPr>
          <w:rFonts w:ascii="Times New Roman" w:hAnsi="Times New Roman" w:eastAsia="仿宋_GB2312"/>
          <w:sz w:val="32"/>
          <w:szCs w:val="32"/>
          <w:highlight w:val="none"/>
        </w:rPr>
      </w:pPr>
    </w:p>
    <w:p w14:paraId="426236BA">
      <w:pPr>
        <w:adjustRightInd w:val="0"/>
        <w:snapToGrid w:val="0"/>
        <w:spacing w:line="600" w:lineRule="exact"/>
        <w:ind w:firstLine="640"/>
        <w:rPr>
          <w:rFonts w:ascii="Times New Roman" w:hAnsi="Times New Roman" w:eastAsia="仿宋_GB2312"/>
          <w:sz w:val="32"/>
          <w:szCs w:val="32"/>
          <w:highlight w:val="none"/>
        </w:rPr>
      </w:pPr>
    </w:p>
    <w:p w14:paraId="1C29F958">
      <w:pPr>
        <w:adjustRightInd w:val="0"/>
        <w:snapToGrid w:val="0"/>
        <w:spacing w:line="600" w:lineRule="exact"/>
        <w:ind w:firstLine="640"/>
        <w:rPr>
          <w:rFonts w:ascii="Times New Roman" w:hAnsi="Times New Roman" w:eastAsia="仿宋_GB2312"/>
          <w:sz w:val="32"/>
          <w:szCs w:val="32"/>
          <w:highlight w:val="none"/>
        </w:rPr>
      </w:pPr>
    </w:p>
    <w:p w14:paraId="4A5FC4F9">
      <w:pPr>
        <w:adjustRightInd w:val="0"/>
        <w:snapToGrid w:val="0"/>
        <w:spacing w:line="600" w:lineRule="exact"/>
        <w:ind w:firstLine="640"/>
        <w:rPr>
          <w:rFonts w:ascii="Times New Roman" w:hAnsi="Times New Roman" w:eastAsia="仿宋_GB2312"/>
          <w:sz w:val="32"/>
          <w:szCs w:val="32"/>
          <w:highlight w:val="none"/>
        </w:rPr>
      </w:pPr>
    </w:p>
    <w:p w14:paraId="06A4E984">
      <w:pPr>
        <w:adjustRightInd w:val="0"/>
        <w:snapToGrid w:val="0"/>
        <w:spacing w:line="600" w:lineRule="exact"/>
        <w:ind w:firstLine="640"/>
        <w:rPr>
          <w:rFonts w:ascii="Times New Roman" w:hAnsi="Times New Roman" w:eastAsia="仿宋_GB2312"/>
          <w:sz w:val="32"/>
          <w:szCs w:val="32"/>
          <w:highlight w:val="none"/>
        </w:rPr>
      </w:pPr>
    </w:p>
    <w:p w14:paraId="3EE658CA">
      <w:pPr>
        <w:pStyle w:val="8"/>
        <w:spacing w:after="0" w:line="600" w:lineRule="exact"/>
        <w:ind w:left="0" w:leftChars="0" w:firstLine="0"/>
        <w:jc w:val="center"/>
        <w:rPr>
          <w:rFonts w:hint="default" w:ascii="黑体" w:hAnsi="黑体" w:eastAsia="黑体" w:cs="黑体"/>
          <w:highlight w:val="none"/>
        </w:rPr>
      </w:pPr>
      <w:r>
        <w:rPr>
          <w:rFonts w:ascii="黑体" w:hAnsi="黑体" w:eastAsia="黑体" w:cs="黑体"/>
          <w:sz w:val="32"/>
          <w:szCs w:val="32"/>
          <w:highlight w:val="none"/>
        </w:rPr>
        <w:t>批复时间：</w:t>
      </w:r>
      <w:r>
        <w:rPr>
          <w:rFonts w:ascii="黑体" w:hAnsi="黑体" w:eastAsia="黑体" w:cs="黑体"/>
          <w:sz w:val="32"/>
          <w:szCs w:val="32"/>
          <w:highlight w:val="none"/>
          <w:u w:val="single"/>
        </w:rPr>
        <w:t xml:space="preserve">  </w:t>
      </w:r>
      <w:r>
        <w:rPr>
          <w:rFonts w:hint="eastAsia" w:ascii="黑体" w:hAnsi="黑体" w:eastAsia="黑体" w:cs="黑体"/>
          <w:sz w:val="32"/>
          <w:szCs w:val="32"/>
          <w:highlight w:val="none"/>
          <w:u w:val="single"/>
          <w:lang w:val="en-US" w:eastAsia="zh-CN"/>
        </w:rPr>
        <w:t>2026</w:t>
      </w:r>
      <w:r>
        <w:rPr>
          <w:rFonts w:ascii="黑体" w:hAnsi="黑体" w:eastAsia="黑体" w:cs="黑体"/>
          <w:sz w:val="32"/>
          <w:szCs w:val="32"/>
          <w:highlight w:val="none"/>
          <w:u w:val="single"/>
        </w:rPr>
        <w:t xml:space="preserve"> 年  </w:t>
      </w:r>
      <w:r>
        <w:rPr>
          <w:rFonts w:hint="eastAsia" w:ascii="黑体" w:hAnsi="黑体" w:eastAsia="黑体" w:cs="黑体"/>
          <w:sz w:val="32"/>
          <w:szCs w:val="32"/>
          <w:highlight w:val="none"/>
          <w:u w:val="single"/>
          <w:lang w:val="en-US" w:eastAsia="zh-CN"/>
        </w:rPr>
        <w:t>2</w:t>
      </w:r>
      <w:r>
        <w:rPr>
          <w:rFonts w:ascii="黑体" w:hAnsi="黑体" w:eastAsia="黑体" w:cs="黑体"/>
          <w:sz w:val="32"/>
          <w:szCs w:val="32"/>
          <w:highlight w:val="none"/>
          <w:u w:val="single"/>
        </w:rPr>
        <w:t xml:space="preserve"> 月   </w:t>
      </w:r>
      <w:r>
        <w:rPr>
          <w:rFonts w:hint="eastAsia" w:ascii="黑体" w:hAnsi="黑体" w:eastAsia="黑体" w:cs="黑体"/>
          <w:sz w:val="32"/>
          <w:szCs w:val="32"/>
          <w:highlight w:val="none"/>
          <w:u w:val="single"/>
          <w:lang w:val="en-US" w:eastAsia="zh-CN"/>
        </w:rPr>
        <w:t>5</w:t>
      </w:r>
      <w:r>
        <w:rPr>
          <w:rFonts w:ascii="黑体" w:hAnsi="黑体" w:eastAsia="黑体" w:cs="黑体"/>
          <w:sz w:val="32"/>
          <w:szCs w:val="32"/>
          <w:highlight w:val="none"/>
          <w:u w:val="single"/>
        </w:rPr>
        <w:t xml:space="preserve"> 日</w:t>
      </w:r>
    </w:p>
    <w:p w14:paraId="63BBFBD4">
      <w:pPr>
        <w:pStyle w:val="8"/>
        <w:spacing w:after="0" w:line="600" w:lineRule="exact"/>
        <w:ind w:left="0" w:leftChars="0" w:firstLine="0"/>
        <w:jc w:val="center"/>
        <w:rPr>
          <w:rFonts w:hint="default" w:ascii="黑体" w:hAnsi="黑体" w:eastAsia="黑体" w:cs="黑体"/>
          <w:highlight w:val="none"/>
        </w:rPr>
      </w:pPr>
      <w:r>
        <w:rPr>
          <w:rFonts w:ascii="黑体" w:hAnsi="黑体" w:eastAsia="黑体" w:cs="黑体"/>
          <w:sz w:val="32"/>
          <w:szCs w:val="32"/>
          <w:highlight w:val="none"/>
        </w:rPr>
        <w:t>公开时间：</w:t>
      </w:r>
      <w:r>
        <w:rPr>
          <w:rFonts w:ascii="黑体" w:hAnsi="黑体" w:eastAsia="黑体" w:cs="黑体"/>
          <w:sz w:val="32"/>
          <w:szCs w:val="32"/>
          <w:highlight w:val="none"/>
          <w:u w:val="single"/>
        </w:rPr>
        <w:t xml:space="preserve">   </w:t>
      </w:r>
      <w:r>
        <w:rPr>
          <w:rFonts w:hint="eastAsia" w:ascii="黑体" w:hAnsi="黑体" w:eastAsia="黑体" w:cs="黑体"/>
          <w:sz w:val="32"/>
          <w:szCs w:val="32"/>
          <w:highlight w:val="none"/>
          <w:u w:val="single"/>
          <w:lang w:val="en-US" w:eastAsia="zh-CN"/>
        </w:rPr>
        <w:t>2025</w:t>
      </w:r>
      <w:r>
        <w:rPr>
          <w:rFonts w:ascii="黑体" w:hAnsi="黑体" w:eastAsia="黑体" w:cs="黑体"/>
          <w:sz w:val="32"/>
          <w:szCs w:val="32"/>
          <w:highlight w:val="none"/>
          <w:u w:val="single"/>
        </w:rPr>
        <w:t xml:space="preserve"> 年  </w:t>
      </w:r>
      <w:r>
        <w:rPr>
          <w:rFonts w:hint="eastAsia" w:ascii="黑体" w:hAnsi="黑体" w:eastAsia="黑体" w:cs="黑体"/>
          <w:sz w:val="32"/>
          <w:szCs w:val="32"/>
          <w:highlight w:val="none"/>
          <w:u w:val="single"/>
          <w:lang w:val="en-US" w:eastAsia="zh-CN"/>
        </w:rPr>
        <w:t>2</w:t>
      </w:r>
      <w:r>
        <w:rPr>
          <w:rFonts w:ascii="黑体" w:hAnsi="黑体" w:eastAsia="黑体" w:cs="黑体"/>
          <w:sz w:val="32"/>
          <w:szCs w:val="32"/>
          <w:highlight w:val="none"/>
          <w:u w:val="single"/>
        </w:rPr>
        <w:t xml:space="preserve">    月  </w:t>
      </w:r>
      <w:r>
        <w:rPr>
          <w:rFonts w:hint="eastAsia" w:ascii="黑体" w:hAnsi="黑体" w:eastAsia="黑体" w:cs="黑体"/>
          <w:sz w:val="32"/>
          <w:szCs w:val="32"/>
          <w:highlight w:val="none"/>
          <w:u w:val="single"/>
          <w:lang w:val="en-US" w:eastAsia="zh-CN"/>
        </w:rPr>
        <w:t>13</w:t>
      </w:r>
      <w:r>
        <w:rPr>
          <w:rFonts w:ascii="黑体" w:hAnsi="黑体" w:eastAsia="黑体" w:cs="黑体"/>
          <w:sz w:val="32"/>
          <w:szCs w:val="32"/>
          <w:highlight w:val="none"/>
          <w:u w:val="single"/>
        </w:rPr>
        <w:t xml:space="preserve">  日</w:t>
      </w:r>
    </w:p>
    <w:p w14:paraId="77B6F951">
      <w:pPr>
        <w:adjustRightInd w:val="0"/>
        <w:snapToGrid w:val="0"/>
        <w:spacing w:line="600" w:lineRule="exact"/>
        <w:jc w:val="left"/>
        <w:rPr>
          <w:highlight w:val="none"/>
        </w:rPr>
      </w:pPr>
    </w:p>
    <w:p w14:paraId="60DD818C">
      <w:pPr>
        <w:adjustRightInd w:val="0"/>
        <w:snapToGrid w:val="0"/>
        <w:spacing w:line="600" w:lineRule="exact"/>
        <w:ind w:firstLine="640"/>
        <w:rPr>
          <w:rFonts w:ascii="Times New Roman" w:hAnsi="Times New Roman" w:eastAsia="仿宋_GB2312"/>
          <w:sz w:val="32"/>
          <w:szCs w:val="32"/>
          <w:highlight w:val="none"/>
        </w:rPr>
      </w:pPr>
    </w:p>
    <w:p w14:paraId="0F262057">
      <w:pPr>
        <w:pageBreakBefore/>
        <w:tabs>
          <w:tab w:val="left" w:pos="4533"/>
        </w:tabs>
        <w:adjustRightInd w:val="0"/>
        <w:snapToGrid w:val="0"/>
        <w:spacing w:line="600" w:lineRule="exact"/>
        <w:jc w:val="center"/>
        <w:rPr>
          <w:sz w:val="44"/>
          <w:szCs w:val="44"/>
          <w:highlight w:val="none"/>
        </w:rPr>
      </w:pPr>
      <w:r>
        <w:rPr>
          <w:sz w:val="44"/>
          <w:szCs w:val="44"/>
          <w:highlight w:val="none"/>
        </w:rPr>
        <w:t>目</w:t>
      </w:r>
      <w:r>
        <w:rPr>
          <w:rFonts w:hint="eastAsia" w:eastAsia="宋体"/>
          <w:sz w:val="44"/>
          <w:szCs w:val="44"/>
          <w:highlight w:val="none"/>
        </w:rPr>
        <w:t xml:space="preserve">  </w:t>
      </w:r>
      <w:r>
        <w:rPr>
          <w:rFonts w:hint="eastAsia"/>
          <w:sz w:val="44"/>
          <w:szCs w:val="44"/>
          <w:highlight w:val="none"/>
        </w:rPr>
        <w:t xml:space="preserve">  </w:t>
      </w:r>
      <w:r>
        <w:rPr>
          <w:sz w:val="44"/>
          <w:szCs w:val="44"/>
          <w:highlight w:val="none"/>
        </w:rPr>
        <w:t>录</w:t>
      </w:r>
    </w:p>
    <w:p w14:paraId="24EF90D1">
      <w:pPr>
        <w:rPr>
          <w:highlight w:val="none"/>
        </w:rPr>
      </w:pPr>
    </w:p>
    <w:p w14:paraId="00295512">
      <w:pPr>
        <w:pStyle w:val="4"/>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第一部分 单位概况</w:t>
      </w:r>
    </w:p>
    <w:p w14:paraId="7ADD7254">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一、主要职能、职责</w:t>
      </w:r>
    </w:p>
    <w:p w14:paraId="1FEE7A93">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二、单位机构设置及预算单位构成情况</w:t>
      </w:r>
    </w:p>
    <w:p w14:paraId="73EC65B3">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三、</w:t>
      </w:r>
      <w:r>
        <w:rPr>
          <w:rFonts w:hint="eastAsia" w:eastAsia="仿宋_GB2312" w:cs="仿宋"/>
          <w:sz w:val="32"/>
          <w:szCs w:val="32"/>
          <w:highlight w:val="none"/>
          <w:lang w:val="en-US" w:eastAsia="zh-CN"/>
        </w:rPr>
        <w:t>2026</w:t>
      </w:r>
      <w:r>
        <w:rPr>
          <w:rFonts w:hint="eastAsia" w:ascii="Times New Roman" w:hAnsi="Times New Roman" w:eastAsia="仿宋_GB2312" w:cs="仿宋"/>
          <w:sz w:val="32"/>
          <w:szCs w:val="32"/>
          <w:highlight w:val="none"/>
        </w:rPr>
        <w:t>年度单位主要工作任务及目标</w:t>
      </w:r>
    </w:p>
    <w:p w14:paraId="330B7F07">
      <w:pPr>
        <w:pStyle w:val="4"/>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 xml:space="preserve">第二部分 </w:t>
      </w:r>
      <w:r>
        <w:rPr>
          <w:rFonts w:hint="eastAsia" w:ascii="黑体" w:hAnsi="黑体" w:eastAsia="黑体" w:cs="黑体"/>
          <w:sz w:val="32"/>
          <w:szCs w:val="32"/>
          <w:highlight w:val="none"/>
          <w:lang w:val="en-US" w:eastAsia="zh-CN"/>
        </w:rPr>
        <w:t>2026</w:t>
      </w:r>
      <w:r>
        <w:rPr>
          <w:rFonts w:hint="eastAsia" w:ascii="黑体" w:hAnsi="黑体" w:eastAsia="黑体" w:cs="黑体"/>
          <w:sz w:val="32"/>
          <w:szCs w:val="32"/>
          <w:highlight w:val="none"/>
        </w:rPr>
        <w:t>年度单位预算情况说明</w:t>
      </w:r>
    </w:p>
    <w:p w14:paraId="7C67B475">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一、收支预算总体情况说明</w:t>
      </w:r>
    </w:p>
    <w:p w14:paraId="7CFA8A2C">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二、收入预算情况说明</w:t>
      </w:r>
    </w:p>
    <w:p w14:paraId="5A330A14">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三、支出预算情况说明</w:t>
      </w:r>
    </w:p>
    <w:p w14:paraId="72F8522F">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四、财政拨款收支预算总体情况说明</w:t>
      </w:r>
    </w:p>
    <w:p w14:paraId="486F84FE">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五、一般公共预算支出预算情况说明</w:t>
      </w:r>
    </w:p>
    <w:p w14:paraId="474C9BE4">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六、一般公共预算基本支出预算情况说明</w:t>
      </w:r>
    </w:p>
    <w:p w14:paraId="6853AB1B">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七、一般公共预算“三公”经费支出预算情况说明</w:t>
      </w:r>
    </w:p>
    <w:p w14:paraId="73B616F5">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八、政府性基金预算支出预算情况说明</w:t>
      </w:r>
    </w:p>
    <w:p w14:paraId="78F5F9D5">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九、国有资本经营预算支出预算情况说明</w:t>
      </w:r>
    </w:p>
    <w:p w14:paraId="70371D7A">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十、项目支出预算情况说明</w:t>
      </w:r>
    </w:p>
    <w:p w14:paraId="72759D64">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十一、</w:t>
      </w:r>
      <w:r>
        <w:rPr>
          <w:rFonts w:hint="eastAsia" w:ascii="Times New Roman" w:hAnsi="Times New Roman" w:eastAsia="仿宋_GB2312" w:cs="仿宋"/>
          <w:sz w:val="32"/>
          <w:szCs w:val="32"/>
          <w:highlight w:val="none"/>
          <w:lang w:val="en-US" w:eastAsia="zh-CN"/>
        </w:rPr>
        <w:t>机构</w:t>
      </w:r>
      <w:r>
        <w:rPr>
          <w:rFonts w:hint="eastAsia" w:ascii="Times New Roman" w:hAnsi="Times New Roman" w:eastAsia="仿宋_GB2312" w:cs="仿宋"/>
          <w:sz w:val="32"/>
          <w:szCs w:val="32"/>
          <w:highlight w:val="none"/>
        </w:rPr>
        <w:t>运行经费支出预算情况说明</w:t>
      </w:r>
    </w:p>
    <w:p w14:paraId="15AAC972">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十二、政府采购支出预算情况说明</w:t>
      </w:r>
    </w:p>
    <w:p w14:paraId="32AAE6A6">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十三、国有资产占用情况说明</w:t>
      </w:r>
    </w:p>
    <w:p w14:paraId="04ABC49C">
      <w:pPr>
        <w:widowControl/>
        <w:spacing w:line="600" w:lineRule="exact"/>
        <w:jc w:val="lef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 xml:space="preserve">十四、项目绩效目标情况说明 </w:t>
      </w:r>
    </w:p>
    <w:p w14:paraId="32948F62">
      <w:pPr>
        <w:pStyle w:val="4"/>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第三部分 名词解释</w:t>
      </w:r>
    </w:p>
    <w:p w14:paraId="7AE409B7">
      <w:pPr>
        <w:pStyle w:val="4"/>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第四部分 预算公开联系方式及信息反馈渠道</w:t>
      </w:r>
    </w:p>
    <w:p w14:paraId="0A286401">
      <w:pPr>
        <w:pStyle w:val="4"/>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 xml:space="preserve">第五部分 </w:t>
      </w:r>
      <w:r>
        <w:rPr>
          <w:rFonts w:hint="eastAsia" w:ascii="黑体" w:hAnsi="黑体" w:eastAsia="黑体" w:cs="黑体"/>
          <w:sz w:val="32"/>
          <w:szCs w:val="32"/>
          <w:highlight w:val="none"/>
          <w:lang w:val="en-US" w:eastAsia="zh-CN"/>
        </w:rPr>
        <w:t>2026</w:t>
      </w:r>
      <w:r>
        <w:rPr>
          <w:rFonts w:hint="eastAsia" w:ascii="黑体" w:hAnsi="黑体" w:eastAsia="黑体" w:cs="黑体"/>
          <w:sz w:val="32"/>
          <w:szCs w:val="32"/>
          <w:highlight w:val="none"/>
        </w:rPr>
        <w:t>年度单位预算表</w:t>
      </w:r>
    </w:p>
    <w:p w14:paraId="320FD4A3">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一、收支总表</w:t>
      </w:r>
    </w:p>
    <w:p w14:paraId="32434486">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二、收入总表</w:t>
      </w:r>
    </w:p>
    <w:p w14:paraId="1E952C97">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三、支出总表</w:t>
      </w:r>
    </w:p>
    <w:p w14:paraId="30B10CE5">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四、财政拨款收支总表</w:t>
      </w:r>
    </w:p>
    <w:p w14:paraId="37ACE667">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五、一般公共预算支出表</w:t>
      </w:r>
    </w:p>
    <w:p w14:paraId="5AEDA2B7">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六、一般公共预算基本支出表</w:t>
      </w:r>
    </w:p>
    <w:p w14:paraId="1C27DB2B">
      <w:pPr>
        <w:pStyle w:val="4"/>
        <w:spacing w:after="0" w:line="600" w:lineRule="exact"/>
        <w:rPr>
          <w:rFonts w:ascii="Times New Roman" w:hAnsi="Times New Roman" w:eastAsia="仿宋_GB2312" w:cs="仿宋"/>
          <w:spacing w:val="-16"/>
          <w:w w:val="95"/>
          <w:sz w:val="32"/>
          <w:szCs w:val="32"/>
          <w:highlight w:val="none"/>
        </w:rPr>
      </w:pPr>
      <w:r>
        <w:rPr>
          <w:rFonts w:hint="eastAsia" w:ascii="Times New Roman" w:hAnsi="Times New Roman" w:eastAsia="仿宋_GB2312" w:cs="仿宋"/>
          <w:spacing w:val="-17"/>
          <w:w w:val="95"/>
          <w:sz w:val="32"/>
          <w:szCs w:val="32"/>
          <w:highlight w:val="none"/>
        </w:rPr>
        <w:t>七、一般公共预算</w:t>
      </w:r>
      <w:r>
        <w:rPr>
          <w:rFonts w:hint="eastAsia" w:ascii="Times New Roman" w:hAnsi="Times New Roman" w:eastAsia="仿宋_GB2312" w:cs="仿宋"/>
          <w:spacing w:val="-8"/>
          <w:w w:val="95"/>
          <w:sz w:val="32"/>
          <w:szCs w:val="32"/>
          <w:highlight w:val="none"/>
        </w:rPr>
        <w:t>“</w:t>
      </w:r>
      <w:r>
        <w:rPr>
          <w:rFonts w:hint="eastAsia" w:ascii="Times New Roman" w:hAnsi="Times New Roman" w:eastAsia="仿宋_GB2312" w:cs="仿宋"/>
          <w:spacing w:val="-15"/>
          <w:w w:val="95"/>
          <w:sz w:val="32"/>
          <w:szCs w:val="32"/>
          <w:highlight w:val="none"/>
        </w:rPr>
        <w:t>三公</w:t>
      </w:r>
      <w:r>
        <w:rPr>
          <w:rFonts w:hint="eastAsia" w:ascii="Times New Roman" w:hAnsi="Times New Roman" w:eastAsia="仿宋_GB2312" w:cs="仿宋"/>
          <w:spacing w:val="-10"/>
          <w:w w:val="95"/>
          <w:sz w:val="32"/>
          <w:szCs w:val="32"/>
          <w:highlight w:val="none"/>
        </w:rPr>
        <w:t>”</w:t>
      </w:r>
      <w:r>
        <w:rPr>
          <w:rFonts w:hint="eastAsia" w:ascii="Times New Roman" w:hAnsi="Times New Roman" w:eastAsia="仿宋_GB2312" w:cs="仿宋"/>
          <w:spacing w:val="-16"/>
          <w:w w:val="95"/>
          <w:sz w:val="32"/>
          <w:szCs w:val="32"/>
          <w:highlight w:val="none"/>
        </w:rPr>
        <w:t>经费支出表</w:t>
      </w:r>
    </w:p>
    <w:p w14:paraId="3BF2A390">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pacing w:val="-16"/>
          <w:w w:val="95"/>
          <w:sz w:val="32"/>
          <w:szCs w:val="32"/>
          <w:highlight w:val="none"/>
        </w:rPr>
        <w:t>八、政府性基金预算支出表</w:t>
      </w:r>
    </w:p>
    <w:p w14:paraId="431DF45D">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九、国有资本经营预算支出表</w:t>
      </w:r>
    </w:p>
    <w:p w14:paraId="7BA2D0D0">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十、项目支出表</w:t>
      </w:r>
    </w:p>
    <w:p w14:paraId="2CC5D8D7">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十一、项目绩效目标表</w:t>
      </w:r>
    </w:p>
    <w:p w14:paraId="7E4ADC07">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十二、政府采购预算表</w:t>
      </w:r>
    </w:p>
    <w:p w14:paraId="22BBBDC0">
      <w:pPr>
        <w:pStyle w:val="3"/>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highlight w:val="none"/>
        </w:rPr>
      </w:pPr>
      <w:bookmarkStart w:id="0" w:name="_Toc30742"/>
      <w:r>
        <w:rPr>
          <w:rFonts w:hint="eastAsia" w:ascii="方正小标宋简体" w:hAnsi="方正小标宋简体" w:eastAsia="方正小标宋简体" w:cs="方正小标宋简体"/>
          <w:b w:val="0"/>
          <w:bCs w:val="0"/>
          <w:sz w:val="36"/>
          <w:szCs w:val="36"/>
          <w:highlight w:val="none"/>
        </w:rPr>
        <w:t>第一部分  单位概况</w:t>
      </w:r>
      <w:bookmarkEnd w:id="0"/>
    </w:p>
    <w:p w14:paraId="30C7C10C">
      <w:pPr>
        <w:spacing w:line="600" w:lineRule="exact"/>
        <w:rPr>
          <w:rFonts w:ascii="方正小标宋简体" w:hAnsi="方正小标宋简体" w:eastAsia="方正小标宋简体" w:cs="方正小标宋简体"/>
          <w:sz w:val="36"/>
          <w:szCs w:val="36"/>
          <w:highlight w:val="none"/>
        </w:rPr>
      </w:pPr>
    </w:p>
    <w:p w14:paraId="7ACFFB2D">
      <w:pPr>
        <w:numPr>
          <w:ilvl w:val="0"/>
          <w:numId w:val="1"/>
        </w:numPr>
        <w:spacing w:line="600" w:lineRule="exact"/>
        <w:ind w:left="17" w:leftChars="8" w:firstLine="624" w:firstLineChars="195"/>
        <w:outlineLvl w:val="2"/>
        <w:rPr>
          <w:rFonts w:eastAsia="黑体" w:cs="黑体"/>
          <w:sz w:val="32"/>
          <w:szCs w:val="36"/>
          <w:highlight w:val="none"/>
        </w:rPr>
      </w:pPr>
      <w:r>
        <w:rPr>
          <w:rFonts w:hint="eastAsia" w:eastAsia="黑体" w:cs="黑体"/>
          <w:sz w:val="32"/>
          <w:szCs w:val="36"/>
          <w:highlight w:val="none"/>
        </w:rPr>
        <w:t>主要职能职责</w:t>
      </w:r>
    </w:p>
    <w:p w14:paraId="6A16F71D">
      <w:pPr>
        <w:snapToGrid w:val="0"/>
        <w:spacing w:line="560" w:lineRule="exact"/>
        <w:ind w:firstLine="640"/>
        <w:rPr>
          <w:rFonts w:hint="eastAsia" w:ascii="楷体_GB2312" w:eastAsia="楷体_GB2312"/>
          <w:sz w:val="32"/>
          <w:szCs w:val="32"/>
        </w:rPr>
      </w:pPr>
      <w:r>
        <w:rPr>
          <w:rFonts w:hint="eastAsia" w:ascii="楷体_GB2312" w:eastAsia="楷体_GB2312"/>
          <w:sz w:val="32"/>
          <w:szCs w:val="32"/>
        </w:rPr>
        <w:t>（一）</w:t>
      </w:r>
      <w:r>
        <w:rPr>
          <w:rFonts w:hint="eastAsia" w:ascii="楷体_GB2312" w:eastAsia="楷体_GB2312"/>
          <w:sz w:val="32"/>
          <w:szCs w:val="32"/>
          <w:lang w:eastAsia="zh-CN"/>
        </w:rPr>
        <w:t>单位</w:t>
      </w:r>
      <w:r>
        <w:rPr>
          <w:rFonts w:hint="eastAsia" w:ascii="楷体_GB2312" w:eastAsia="楷体_GB2312"/>
          <w:sz w:val="32"/>
          <w:szCs w:val="32"/>
        </w:rPr>
        <w:t>主要职能</w:t>
      </w:r>
    </w:p>
    <w:p w14:paraId="602EDE30">
      <w:pPr>
        <w:adjustRightInd w:val="0"/>
        <w:snapToGrid w:val="0"/>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主要职能：巴彦淖尔市体育彩票销售管理中心为巴彦淖尔市体育局所属相当于正科级公益二类事业单位。</w:t>
      </w:r>
    </w:p>
    <w:p w14:paraId="66FDE263">
      <w:pPr>
        <w:snapToGrid w:val="0"/>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（二）</w:t>
      </w:r>
      <w:r>
        <w:rPr>
          <w:rFonts w:hint="eastAsia" w:ascii="楷体_GB2312" w:eastAsia="楷体_GB2312"/>
          <w:sz w:val="32"/>
          <w:szCs w:val="32"/>
          <w:lang w:eastAsia="zh-CN"/>
        </w:rPr>
        <w:t>单位</w:t>
      </w:r>
      <w:r>
        <w:rPr>
          <w:rFonts w:hint="eastAsia" w:ascii="楷体_GB2312" w:eastAsia="楷体_GB2312"/>
          <w:sz w:val="32"/>
          <w:szCs w:val="32"/>
        </w:rPr>
        <w:t>主要职责</w:t>
      </w:r>
    </w:p>
    <w:p w14:paraId="1F879945">
      <w:pPr>
        <w:adjustRightInd w:val="0"/>
        <w:snapToGrid w:val="0"/>
        <w:spacing w:line="560" w:lineRule="exact"/>
        <w:ind w:firstLine="640" w:firstLineChars="200"/>
        <w:rPr>
          <w:rFonts w:hint="eastAsia" w:ascii="楷体" w:hAnsi="楷体" w:eastAsia="楷体" w:cs="楷体"/>
          <w:color w:val="000000"/>
          <w:sz w:val="32"/>
          <w:szCs w:val="32"/>
        </w:rPr>
      </w:pPr>
      <w:r>
        <w:rPr>
          <w:rFonts w:hint="eastAsia" w:ascii="楷体" w:hAnsi="楷体" w:eastAsia="楷体" w:cs="楷体"/>
          <w:color w:val="000000"/>
          <w:sz w:val="32"/>
          <w:szCs w:val="32"/>
        </w:rPr>
        <w:t>主要职责：</w:t>
      </w:r>
    </w:p>
    <w:p w14:paraId="6D924E73">
      <w:pPr>
        <w:numPr>
          <w:ilvl w:val="0"/>
          <w:numId w:val="2"/>
        </w:numPr>
        <w:adjustRightInd w:val="0"/>
        <w:snapToGrid w:val="0"/>
        <w:spacing w:line="560" w:lineRule="exact"/>
        <w:ind w:firstLine="640" w:firstLineChars="200"/>
        <w:rPr>
          <w:rFonts w:hint="eastAsia" w:ascii="楷体" w:hAnsi="楷体" w:eastAsia="楷体" w:cs="楷体"/>
          <w:color w:val="000000"/>
          <w:sz w:val="32"/>
          <w:szCs w:val="32"/>
        </w:rPr>
      </w:pPr>
      <w:r>
        <w:rPr>
          <w:rFonts w:hint="eastAsia" w:ascii="楷体" w:hAnsi="楷体" w:eastAsia="楷体" w:cs="楷体"/>
          <w:color w:val="000000"/>
          <w:sz w:val="32"/>
          <w:szCs w:val="32"/>
        </w:rPr>
        <w:t>贯彻落实体育彩票管理条例等相关法律、法规、政策，促进全市体育彩票事业健康发展。</w:t>
      </w:r>
    </w:p>
    <w:p w14:paraId="7CB6BA08">
      <w:pPr>
        <w:numPr>
          <w:ilvl w:val="0"/>
          <w:numId w:val="2"/>
        </w:numPr>
        <w:adjustRightInd w:val="0"/>
        <w:snapToGrid w:val="0"/>
        <w:spacing w:line="560" w:lineRule="exact"/>
        <w:ind w:firstLine="640" w:firstLineChars="200"/>
        <w:rPr>
          <w:rFonts w:hint="eastAsia" w:ascii="楷体" w:hAnsi="楷体" w:eastAsia="楷体" w:cs="楷体"/>
          <w:color w:val="000000"/>
          <w:sz w:val="32"/>
          <w:szCs w:val="32"/>
        </w:rPr>
      </w:pPr>
      <w:r>
        <w:rPr>
          <w:rFonts w:hint="eastAsia" w:ascii="楷体" w:hAnsi="楷体" w:eastAsia="楷体" w:cs="楷体"/>
          <w:color w:val="000000"/>
          <w:sz w:val="32"/>
          <w:szCs w:val="32"/>
        </w:rPr>
        <w:t>拟定全市体育彩票销售实施方案，并组织实施。</w:t>
      </w:r>
    </w:p>
    <w:p w14:paraId="2C439458">
      <w:pPr>
        <w:numPr>
          <w:ilvl w:val="0"/>
          <w:numId w:val="2"/>
        </w:numPr>
        <w:adjustRightInd w:val="0"/>
        <w:snapToGrid w:val="0"/>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负责全市体育彩票销售系统的建设、运营和维护。</w:t>
      </w:r>
    </w:p>
    <w:p w14:paraId="23CF93F4">
      <w:pPr>
        <w:numPr>
          <w:ilvl w:val="0"/>
          <w:numId w:val="2"/>
        </w:numPr>
        <w:adjustRightInd w:val="0"/>
        <w:snapToGrid w:val="0"/>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负责实施全市体育彩票销售网点的布局规划、代销营销宣传、市场调研、产品推广、咨询、资讯、兑奖等工作。</w:t>
      </w:r>
    </w:p>
    <w:p w14:paraId="27BB72A0">
      <w:pPr>
        <w:numPr>
          <w:ilvl w:val="0"/>
          <w:numId w:val="2"/>
        </w:numPr>
        <w:adjustRightInd w:val="0"/>
        <w:snapToGrid w:val="0"/>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根据有关法律法规和中央、自治区有关规定开展相关工作。</w:t>
      </w:r>
    </w:p>
    <w:p w14:paraId="40348A03">
      <w:pPr>
        <w:numPr>
          <w:ilvl w:val="0"/>
          <w:numId w:val="1"/>
        </w:numPr>
        <w:spacing w:line="600" w:lineRule="exact"/>
        <w:ind w:left="17" w:leftChars="8" w:firstLine="624" w:firstLineChars="195"/>
        <w:outlineLvl w:val="2"/>
        <w:rPr>
          <w:rFonts w:eastAsia="黑体" w:cs="黑体"/>
          <w:sz w:val="32"/>
          <w:szCs w:val="36"/>
          <w:highlight w:val="none"/>
        </w:rPr>
      </w:pPr>
      <w:r>
        <w:rPr>
          <w:rFonts w:hint="eastAsia" w:eastAsia="黑体" w:cs="黑体"/>
          <w:sz w:val="32"/>
          <w:szCs w:val="36"/>
          <w:highlight w:val="none"/>
        </w:rPr>
        <w:t>单位机构设置及预算单位构成情况</w:t>
      </w:r>
    </w:p>
    <w:p w14:paraId="26BEE761">
      <w:pPr>
        <w:adjustRightInd w:val="0"/>
        <w:snapToGrid w:val="0"/>
        <w:spacing w:line="560" w:lineRule="exact"/>
        <w:ind w:firstLine="640"/>
        <w:rPr>
          <w:rFonts w:hint="eastAsia" w:ascii="楷体_GB2312" w:eastAsia="楷体_GB2312"/>
          <w:sz w:val="32"/>
          <w:szCs w:val="32"/>
        </w:rPr>
      </w:pPr>
      <w:bookmarkStart w:id="1" w:name="_Toc21288"/>
      <w:r>
        <w:rPr>
          <w:rFonts w:hint="eastAsia" w:ascii="楷体_GB2312" w:eastAsia="楷体_GB2312"/>
          <w:sz w:val="32"/>
          <w:szCs w:val="32"/>
        </w:rPr>
        <w:t>从预算单位构成看，巴彦淖尔市体育彩票销售管理中心隶属于巴彦淖尔市体育局的科级建制事业单位，经费执行自收自支管理。</w:t>
      </w:r>
    </w:p>
    <w:p w14:paraId="6423D98E">
      <w:pPr>
        <w:snapToGrid w:val="0"/>
        <w:spacing w:line="560" w:lineRule="exact"/>
        <w:ind w:firstLine="640"/>
        <w:rPr>
          <w:rFonts w:hint="eastAsia" w:ascii="楷体_GB2312" w:hAnsi="黑体" w:eastAsia="楷体_GB2312"/>
          <w:sz w:val="32"/>
          <w:szCs w:val="32"/>
        </w:rPr>
      </w:pPr>
      <w:r>
        <w:rPr>
          <w:rFonts w:hint="eastAsia" w:ascii="楷体_GB2312" w:eastAsia="楷体_GB2312"/>
          <w:sz w:val="32"/>
          <w:szCs w:val="32"/>
        </w:rPr>
        <w:t>（一）巴彦淖尔市</w:t>
      </w:r>
      <w:r>
        <w:rPr>
          <w:rFonts w:hint="eastAsia" w:ascii="楷体_GB2312" w:eastAsia="楷体_GB2312"/>
          <w:sz w:val="32"/>
          <w:szCs w:val="32"/>
          <w:lang w:eastAsia="zh-CN"/>
        </w:rPr>
        <w:t>体育彩票销售管理中心</w:t>
      </w:r>
      <w:r>
        <w:rPr>
          <w:rFonts w:hint="eastAsia" w:ascii="楷体_GB2312" w:eastAsia="楷体_GB2312"/>
          <w:sz w:val="32"/>
          <w:szCs w:val="32"/>
        </w:rPr>
        <w:t>机构及人员基本情况</w:t>
      </w:r>
    </w:p>
    <w:p w14:paraId="3D9CC738">
      <w:pPr>
        <w:adjustRightInd w:val="0"/>
        <w:snapToGrid w:val="0"/>
        <w:spacing w:line="560" w:lineRule="exact"/>
        <w:ind w:firstLine="640"/>
        <w:rPr>
          <w:rFonts w:hint="eastAsia" w:ascii="楷体_GB2312" w:eastAsia="楷体_GB2312"/>
          <w:sz w:val="32"/>
          <w:szCs w:val="32"/>
        </w:rPr>
      </w:pPr>
      <w:r>
        <w:rPr>
          <w:rFonts w:hint="eastAsia" w:ascii="楷体_GB2312" w:eastAsia="楷体_GB2312"/>
          <w:sz w:val="32"/>
          <w:szCs w:val="32"/>
        </w:rPr>
        <w:t>部门机构情况：综合部、财务部、业务部、即开部。</w:t>
      </w:r>
    </w:p>
    <w:p w14:paraId="7E6B2C87">
      <w:pPr>
        <w:adjustRightInd w:val="0"/>
        <w:snapToGrid w:val="0"/>
        <w:spacing w:line="560" w:lineRule="exact"/>
        <w:ind w:firstLine="640" w:firstLineChars="200"/>
        <w:rPr>
          <w:rFonts w:ascii="楷体_GB2312" w:eastAsia="楷体_GB2312"/>
          <w:sz w:val="32"/>
          <w:szCs w:val="32"/>
          <w:highlight w:val="yellow"/>
        </w:rPr>
      </w:pPr>
      <w:r>
        <w:rPr>
          <w:rFonts w:hint="eastAsia" w:ascii="楷体_GB2312" w:eastAsia="楷体_GB2312"/>
          <w:sz w:val="32"/>
          <w:szCs w:val="32"/>
        </w:rPr>
        <w:t>人员基本情况：巴彦淖尔市体育彩票销售管理中心核定事业编制9人，现实有在职人员</w:t>
      </w:r>
      <w:r>
        <w:rPr>
          <w:rFonts w:hint="eastAsia" w:ascii="楷体_GB2312" w:eastAsia="楷体_GB2312"/>
          <w:sz w:val="32"/>
          <w:szCs w:val="32"/>
          <w:lang w:val="en-US" w:eastAsia="zh-CN"/>
        </w:rPr>
        <w:t>18</w:t>
      </w:r>
      <w:r>
        <w:rPr>
          <w:rFonts w:hint="eastAsia" w:ascii="楷体_GB2312" w:eastAsia="楷体_GB2312"/>
          <w:sz w:val="32"/>
          <w:szCs w:val="32"/>
        </w:rPr>
        <w:t>人，无离退休人员</w:t>
      </w:r>
      <w:r>
        <w:rPr>
          <w:rFonts w:hint="eastAsia" w:ascii="楷体_GB2312" w:eastAsia="楷体_GB2312"/>
          <w:sz w:val="32"/>
          <w:szCs w:val="32"/>
          <w:shd w:val="pct10" w:color="auto" w:fill="FFFFFF"/>
        </w:rPr>
        <w:t>。</w:t>
      </w:r>
    </w:p>
    <w:p w14:paraId="7A854975">
      <w:pPr>
        <w:numPr>
          <w:ilvl w:val="0"/>
          <w:numId w:val="3"/>
        </w:numPr>
        <w:snapToGrid w:val="0"/>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巴彦淖尔市</w:t>
      </w:r>
      <w:r>
        <w:rPr>
          <w:rFonts w:hint="eastAsia" w:ascii="楷体_GB2312" w:eastAsia="楷体_GB2312"/>
          <w:sz w:val="32"/>
          <w:szCs w:val="32"/>
          <w:lang w:eastAsia="zh-CN"/>
        </w:rPr>
        <w:t>体育彩票销售管理中心</w:t>
      </w:r>
      <w:r>
        <w:rPr>
          <w:rFonts w:hint="eastAsia" w:ascii="楷体_GB2312" w:eastAsia="楷体_GB2312"/>
          <w:sz w:val="32"/>
          <w:szCs w:val="32"/>
        </w:rPr>
        <w:t>单位设置</w:t>
      </w:r>
    </w:p>
    <w:p w14:paraId="25B3A907">
      <w:pPr>
        <w:numPr>
          <w:ilvl w:val="0"/>
          <w:numId w:val="0"/>
        </w:numPr>
        <w:snapToGrid w:val="0"/>
        <w:spacing w:line="560" w:lineRule="exact"/>
        <w:rPr>
          <w:rFonts w:hint="eastAsia" w:ascii="仿宋_GB2312" w:eastAsia="仿宋_GB2312"/>
          <w:sz w:val="32"/>
          <w:szCs w:val="32"/>
        </w:rPr>
      </w:pPr>
      <w:r>
        <w:rPr>
          <w:rFonts w:hint="eastAsia" w:ascii="仿宋_GB2312" w:eastAsia="仿宋_GB2312"/>
          <w:sz w:val="32"/>
          <w:szCs w:val="32"/>
        </w:rPr>
        <w:t xml:space="preserve">纳入部门预算编制范围的二级预算单位情况： </w:t>
      </w:r>
    </w:p>
    <w:p w14:paraId="2A163532">
      <w:pPr>
        <w:snapToGrid w:val="0"/>
        <w:spacing w:line="560" w:lineRule="exact"/>
        <w:ind w:firstLine="640" w:firstLineChars="200"/>
        <w:rPr>
          <w:rFonts w:hint="eastAsia" w:ascii="仿宋_GB2312" w:eastAsia="仿宋_GB2312"/>
          <w:sz w:val="32"/>
          <w:szCs w:val="32"/>
        </w:rPr>
      </w:pPr>
    </w:p>
    <w:p w14:paraId="1922E360">
      <w:pPr>
        <w:snapToGrid w:val="0"/>
        <w:spacing w:line="560" w:lineRule="exact"/>
        <w:ind w:firstLine="643" w:firstLineChars="200"/>
        <w:jc w:val="center"/>
        <w:rPr>
          <w:rFonts w:hint="eastAsia" w:eastAsia="仿宋_GB2312"/>
          <w:b/>
          <w:sz w:val="32"/>
          <w:szCs w:val="32"/>
        </w:rPr>
      </w:pPr>
      <w:r>
        <w:rPr>
          <w:rFonts w:hint="eastAsia" w:eastAsia="仿宋_GB2312"/>
          <w:b/>
          <w:sz w:val="32"/>
          <w:szCs w:val="32"/>
        </w:rPr>
        <w:t>单位情况表</w:t>
      </w:r>
    </w:p>
    <w:p w14:paraId="1351BD2D">
      <w:pPr>
        <w:adjustRightInd w:val="0"/>
        <w:snapToGrid w:val="0"/>
        <w:spacing w:line="560" w:lineRule="exact"/>
        <w:ind w:firstLine="640" w:firstLineChars="200"/>
        <w:rPr>
          <w:rFonts w:hint="eastAsia" w:ascii="仿宋_GB2312" w:hAnsi="黑体" w:eastAsia="仿宋_GB2312"/>
          <w:color w:val="000000"/>
          <w:szCs w:val="21"/>
        </w:rPr>
      </w:pPr>
      <w:r>
        <w:rPr>
          <w:rFonts w:hint="eastAsia" w:ascii="黑体" w:hAnsi="黑体" w:eastAsia="黑体"/>
          <w:color w:val="000000"/>
          <w:sz w:val="32"/>
          <w:szCs w:val="32"/>
        </w:rPr>
        <w:t xml:space="preserve">                                          </w:t>
      </w:r>
    </w:p>
    <w:tbl>
      <w:tblPr>
        <w:tblStyle w:val="9"/>
        <w:tblW w:w="0" w:type="auto"/>
        <w:jc w:val="center"/>
        <w:tblLayout w:type="fixed"/>
        <w:tblCellMar>
          <w:top w:w="0" w:type="dxa"/>
          <w:left w:w="108" w:type="dxa"/>
          <w:bottom w:w="0" w:type="dxa"/>
          <w:right w:w="108" w:type="dxa"/>
        </w:tblCellMar>
      </w:tblPr>
      <w:tblGrid>
        <w:gridCol w:w="1203"/>
        <w:gridCol w:w="3780"/>
        <w:gridCol w:w="3326"/>
      </w:tblGrid>
      <w:tr w14:paraId="0F6D3C87">
        <w:tblPrEx>
          <w:tblCellMar>
            <w:top w:w="0" w:type="dxa"/>
            <w:left w:w="108" w:type="dxa"/>
            <w:bottom w:w="0" w:type="dxa"/>
            <w:right w:w="108" w:type="dxa"/>
          </w:tblCellMar>
        </w:tblPrEx>
        <w:trPr>
          <w:trHeight w:val="397" w:hRule="atLeast"/>
          <w:jc w:val="center"/>
        </w:trPr>
        <w:tc>
          <w:tcPr>
            <w:tcW w:w="1203" w:type="dxa"/>
            <w:tcBorders>
              <w:top w:val="single" w:color="auto" w:sz="4" w:space="0"/>
              <w:left w:val="single" w:color="auto" w:sz="4" w:space="0"/>
              <w:bottom w:val="single" w:color="auto" w:sz="4" w:space="0"/>
              <w:right w:val="single" w:color="auto" w:sz="4" w:space="0"/>
            </w:tcBorders>
            <w:noWrap w:val="0"/>
            <w:vAlign w:val="center"/>
          </w:tcPr>
          <w:p w14:paraId="0EE0765E">
            <w:pPr>
              <w:widowControl/>
              <w:jc w:val="center"/>
              <w:rPr>
                <w:rFonts w:hint="eastAsia" w:ascii="仿宋_GB2312" w:eastAsia="仿宋_GB2312"/>
                <w:color w:val="000000"/>
                <w:kern w:val="0"/>
                <w:sz w:val="32"/>
                <w:szCs w:val="32"/>
              </w:rPr>
            </w:pPr>
            <w:r>
              <w:rPr>
                <w:rFonts w:hint="eastAsia" w:ascii="仿宋_GB2312" w:hAnsi="黑体" w:eastAsia="仿宋_GB2312" w:cs="宋体"/>
                <w:bCs/>
                <w:color w:val="000000"/>
                <w:kern w:val="0"/>
                <w:sz w:val="32"/>
                <w:szCs w:val="32"/>
              </w:rPr>
              <w:t>序号</w:t>
            </w:r>
          </w:p>
        </w:tc>
        <w:tc>
          <w:tcPr>
            <w:tcW w:w="3780" w:type="dxa"/>
            <w:tcBorders>
              <w:top w:val="single" w:color="auto" w:sz="4" w:space="0"/>
              <w:left w:val="single" w:color="auto" w:sz="4" w:space="0"/>
              <w:bottom w:val="single" w:color="auto" w:sz="4" w:space="0"/>
              <w:right w:val="single" w:color="auto" w:sz="4" w:space="0"/>
            </w:tcBorders>
            <w:noWrap w:val="0"/>
            <w:vAlign w:val="center"/>
          </w:tcPr>
          <w:p w14:paraId="231C9E46">
            <w:pPr>
              <w:widowControl/>
              <w:jc w:val="center"/>
              <w:rPr>
                <w:rFonts w:hint="eastAsia" w:ascii="仿宋_GB2312" w:eastAsia="仿宋_GB2312"/>
                <w:bCs/>
                <w:color w:val="000000"/>
                <w:kern w:val="0"/>
                <w:sz w:val="32"/>
                <w:szCs w:val="32"/>
              </w:rPr>
            </w:pPr>
            <w:r>
              <w:rPr>
                <w:rFonts w:hint="eastAsia" w:ascii="仿宋_GB2312" w:hAnsi="黑体" w:eastAsia="仿宋_GB2312" w:cs="宋体"/>
                <w:bCs/>
                <w:color w:val="000000"/>
                <w:kern w:val="0"/>
                <w:sz w:val="32"/>
                <w:szCs w:val="32"/>
              </w:rPr>
              <w:t>单位名称</w:t>
            </w:r>
          </w:p>
        </w:tc>
        <w:tc>
          <w:tcPr>
            <w:tcW w:w="3326" w:type="dxa"/>
            <w:tcBorders>
              <w:top w:val="single" w:color="auto" w:sz="4" w:space="0"/>
              <w:left w:val="nil"/>
              <w:bottom w:val="single" w:color="auto" w:sz="4" w:space="0"/>
              <w:right w:val="single" w:color="auto" w:sz="4" w:space="0"/>
            </w:tcBorders>
            <w:noWrap w:val="0"/>
            <w:vAlign w:val="center"/>
          </w:tcPr>
          <w:p w14:paraId="23F96C89">
            <w:pPr>
              <w:widowControl/>
              <w:jc w:val="center"/>
              <w:rPr>
                <w:rFonts w:hint="eastAsia" w:ascii="仿宋_GB2312" w:eastAsia="仿宋_GB2312"/>
                <w:color w:val="000000"/>
                <w:kern w:val="0"/>
                <w:sz w:val="32"/>
                <w:szCs w:val="32"/>
              </w:rPr>
            </w:pPr>
            <w:r>
              <w:rPr>
                <w:rFonts w:hint="eastAsia" w:ascii="仿宋_GB2312" w:eastAsia="仿宋_GB2312"/>
                <w:color w:val="000000"/>
                <w:kern w:val="0"/>
                <w:sz w:val="32"/>
                <w:szCs w:val="32"/>
              </w:rPr>
              <w:t>单位性质</w:t>
            </w:r>
          </w:p>
        </w:tc>
      </w:tr>
      <w:tr w14:paraId="7DF11D93">
        <w:tblPrEx>
          <w:tblCellMar>
            <w:top w:w="0" w:type="dxa"/>
            <w:left w:w="108" w:type="dxa"/>
            <w:bottom w:w="0" w:type="dxa"/>
            <w:right w:w="108" w:type="dxa"/>
          </w:tblCellMar>
        </w:tblPrEx>
        <w:trPr>
          <w:trHeight w:val="397" w:hRule="atLeast"/>
          <w:jc w:val="center"/>
        </w:trPr>
        <w:tc>
          <w:tcPr>
            <w:tcW w:w="1203" w:type="dxa"/>
            <w:tcBorders>
              <w:top w:val="single" w:color="auto" w:sz="4" w:space="0"/>
              <w:left w:val="single" w:color="auto" w:sz="4" w:space="0"/>
              <w:bottom w:val="single" w:color="auto" w:sz="4" w:space="0"/>
              <w:right w:val="single" w:color="auto" w:sz="4" w:space="0"/>
            </w:tcBorders>
            <w:noWrap w:val="0"/>
            <w:vAlign w:val="center"/>
          </w:tcPr>
          <w:p w14:paraId="33C425DA">
            <w:pPr>
              <w:widowControl/>
              <w:jc w:val="center"/>
              <w:rPr>
                <w:rFonts w:hint="eastAsia" w:ascii="仿宋_GB2312" w:eastAsia="仿宋_GB2312"/>
                <w:color w:val="000000"/>
                <w:kern w:val="0"/>
                <w:sz w:val="32"/>
                <w:szCs w:val="32"/>
              </w:rPr>
            </w:pPr>
            <w:r>
              <w:rPr>
                <w:rFonts w:hint="eastAsia" w:ascii="仿宋_GB2312" w:eastAsia="仿宋_GB2312"/>
                <w:color w:val="000000"/>
                <w:kern w:val="0"/>
                <w:sz w:val="32"/>
                <w:szCs w:val="32"/>
              </w:rPr>
              <w:t>1</w:t>
            </w:r>
          </w:p>
        </w:tc>
        <w:tc>
          <w:tcPr>
            <w:tcW w:w="3780" w:type="dxa"/>
            <w:tcBorders>
              <w:top w:val="single" w:color="auto" w:sz="4" w:space="0"/>
              <w:left w:val="single" w:color="auto" w:sz="4" w:space="0"/>
              <w:bottom w:val="single" w:color="auto" w:sz="4" w:space="0"/>
              <w:right w:val="single" w:color="auto" w:sz="4" w:space="0"/>
            </w:tcBorders>
            <w:noWrap w:val="0"/>
            <w:vAlign w:val="center"/>
          </w:tcPr>
          <w:p w14:paraId="593213E1">
            <w:pPr>
              <w:widowControl/>
              <w:rPr>
                <w:rFonts w:hint="eastAsia" w:ascii="仿宋_GB2312" w:eastAsia="仿宋_GB2312"/>
                <w:color w:val="000000"/>
                <w:kern w:val="0"/>
                <w:sz w:val="32"/>
                <w:szCs w:val="32"/>
                <w:lang w:eastAsia="zh-CN"/>
              </w:rPr>
            </w:pPr>
            <w:r>
              <w:rPr>
                <w:rFonts w:hint="eastAsia" w:ascii="仿宋_GB2312" w:eastAsia="仿宋_GB2312"/>
                <w:color w:val="000000"/>
                <w:kern w:val="0"/>
                <w:sz w:val="32"/>
                <w:szCs w:val="32"/>
                <w:lang w:eastAsia="zh-CN"/>
              </w:rPr>
              <w:t>巴彦淖尔市体育彩票销售管理中心</w:t>
            </w:r>
          </w:p>
        </w:tc>
        <w:tc>
          <w:tcPr>
            <w:tcW w:w="3326" w:type="dxa"/>
            <w:tcBorders>
              <w:top w:val="single" w:color="auto" w:sz="4" w:space="0"/>
              <w:left w:val="nil"/>
              <w:bottom w:val="single" w:color="auto" w:sz="4" w:space="0"/>
              <w:right w:val="single" w:color="auto" w:sz="4" w:space="0"/>
            </w:tcBorders>
            <w:noWrap w:val="0"/>
            <w:vAlign w:val="center"/>
          </w:tcPr>
          <w:p w14:paraId="34ED6683">
            <w:pPr>
              <w:widowControl/>
              <w:jc w:val="center"/>
              <w:rPr>
                <w:rFonts w:hint="eastAsia" w:ascii="仿宋_GB2312" w:eastAsia="仿宋_GB2312"/>
                <w:color w:val="000000"/>
                <w:kern w:val="0"/>
                <w:sz w:val="32"/>
                <w:szCs w:val="32"/>
                <w:lang w:eastAsia="zh-CN"/>
              </w:rPr>
            </w:pPr>
            <w:r>
              <w:rPr>
                <w:rFonts w:hint="eastAsia" w:ascii="仿宋_GB2312" w:eastAsia="仿宋_GB2312"/>
                <w:color w:val="000000"/>
                <w:kern w:val="0"/>
                <w:sz w:val="32"/>
                <w:szCs w:val="32"/>
                <w:lang w:eastAsia="zh-CN"/>
              </w:rPr>
              <w:t>自收自支事业单位</w:t>
            </w:r>
          </w:p>
        </w:tc>
      </w:tr>
    </w:tbl>
    <w:p w14:paraId="3A975BF1">
      <w:pPr>
        <w:spacing w:before="51" w:line="226" w:lineRule="auto"/>
        <w:ind w:left="773"/>
        <w:outlineLvl w:val="2"/>
        <w:rPr>
          <w:rFonts w:ascii="黑体" w:hAnsi="黑体" w:eastAsia="黑体" w:cs="黑体"/>
          <w:spacing w:val="8"/>
          <w:sz w:val="31"/>
          <w:szCs w:val="31"/>
        </w:rPr>
      </w:pPr>
    </w:p>
    <w:p w14:paraId="683785E2">
      <w:pPr>
        <w:spacing w:before="51" w:line="226" w:lineRule="auto"/>
        <w:ind w:left="773"/>
        <w:outlineLvl w:val="2"/>
        <w:rPr>
          <w:rFonts w:ascii="黑体" w:hAnsi="黑体" w:eastAsia="黑体" w:cs="黑体"/>
          <w:spacing w:val="8"/>
          <w:sz w:val="31"/>
          <w:szCs w:val="31"/>
        </w:rPr>
      </w:pPr>
    </w:p>
    <w:p w14:paraId="260F95F7">
      <w:pPr>
        <w:spacing w:before="51" w:line="226" w:lineRule="auto"/>
        <w:ind w:left="773"/>
        <w:outlineLvl w:val="2"/>
        <w:rPr>
          <w:rFonts w:ascii="黑体" w:hAnsi="黑体" w:eastAsia="黑体" w:cs="黑体"/>
          <w:spacing w:val="8"/>
          <w:sz w:val="31"/>
          <w:szCs w:val="31"/>
        </w:rPr>
      </w:pPr>
      <w:r>
        <w:rPr>
          <w:rFonts w:ascii="黑体" w:hAnsi="黑体" w:eastAsia="黑体" w:cs="黑体"/>
          <w:spacing w:val="8"/>
          <w:sz w:val="31"/>
          <w:szCs w:val="31"/>
        </w:rPr>
        <w:t>三、</w:t>
      </w:r>
      <w:r>
        <w:rPr>
          <w:rFonts w:hint="eastAsia" w:ascii="黑体" w:hAnsi="黑体" w:eastAsia="黑体" w:cs="黑体"/>
          <w:spacing w:val="8"/>
          <w:sz w:val="31"/>
          <w:szCs w:val="31"/>
          <w:lang w:val="en-US" w:eastAsia="zh-CN"/>
        </w:rPr>
        <w:t>2026</w:t>
      </w:r>
      <w:r>
        <w:rPr>
          <w:rFonts w:ascii="仿宋" w:hAnsi="仿宋" w:eastAsia="仿宋" w:cs="仿宋"/>
          <w:spacing w:val="-50"/>
          <w:sz w:val="31"/>
          <w:szCs w:val="31"/>
        </w:rPr>
        <w:t xml:space="preserve"> </w:t>
      </w:r>
      <w:r>
        <w:rPr>
          <w:rFonts w:ascii="黑体" w:hAnsi="黑体" w:eastAsia="黑体" w:cs="黑体"/>
          <w:spacing w:val="8"/>
          <w:sz w:val="31"/>
          <w:szCs w:val="31"/>
        </w:rPr>
        <w:t>年</w:t>
      </w:r>
      <w:r>
        <w:rPr>
          <w:rFonts w:hint="eastAsia" w:ascii="黑体" w:hAnsi="黑体" w:eastAsia="黑体" w:cs="黑体"/>
          <w:spacing w:val="8"/>
          <w:sz w:val="31"/>
          <w:szCs w:val="31"/>
          <w:lang w:eastAsia="zh-CN"/>
        </w:rPr>
        <w:t>度</w:t>
      </w:r>
      <w:r>
        <w:rPr>
          <w:rFonts w:ascii="黑体" w:hAnsi="黑体" w:eastAsia="黑体" w:cs="黑体"/>
          <w:spacing w:val="8"/>
          <w:sz w:val="31"/>
          <w:szCs w:val="31"/>
        </w:rPr>
        <w:t>单位主要工作任务及目标</w:t>
      </w:r>
    </w:p>
    <w:p w14:paraId="51DE4191">
      <w:pPr>
        <w:pStyle w:val="7"/>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1.做好党建业务深度融合。一是坚持把党的政治建设摆在首位，持续深入学习主题教育、贯彻习近平新时代中国特色社会主义思想和党的二十大精神、中央八项规定精神，强化从政治上看彩票的意识，高质量开展主题活动。二是持续树立“服务基层”鲜明导向，体彩工作的基础在基层，工作重心也在基层，鼓励体彩中心干部职工积极到基层接受锻炼，在强化基层基础工作中检验和提升能力。三是持续重点推进“三个阵地”建设工作。纳入我中心2026年重点工作，将定期更换宣传展板及宣传内容；为红色教育阵地、民族团结阵地网点征订2026年解放军画报及民族画报两类杂志，充实红色教育阵地及民族团结阵地宣传内容；并不定期在两类网点中开展主题党日活动，充分做到体彩益家、为民服务、公益便民。四是持续做好体彩系统党纪廉政教育治理工作，将体育彩票领域专题警示教育作为一项长期的政治任务，长期抓反复抓，开展警示教育回头看活动，教育干部职工知敬畏、存戒惧、守底线。</w:t>
      </w:r>
    </w:p>
    <w:p w14:paraId="665A530B">
      <w:pPr>
        <w:pStyle w:val="7"/>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2.做好营销宣传，激发三大游戏发展活力。从当前的游戏结构来看，竞彩游戏作为体育彩票独有玩法，只有抓好竞彩型彩票，才能占领我市彩票市场，所以对于竞彩游戏，我们不能有任何松懈。一是要做好体育赛事的精细化运营和市场培育，在开赛前后，我们将有针对性的开展驻点帮扶工作，提升帮扶工作成效，提高代销者科学化经营水平。二是发挥优秀竞彩实体店“传帮带”作用。在全市发掘一批销量好、业务能力强、店面形象佳的实体店，到兄弟盟市或竞彩工作做得好的省市进行学习，并将其运营经验在全区推广，充分发挥优秀实体店区域辐射和“传帮带”作用，推动竞彩渠道结构优化。三是严格落实竞彩超限额销售合规管理。根据关于竞彩超限额销售管理工作要求，加强对销售网点管理，促进竞猜型游戏销售市场安全稳定发展。</w:t>
      </w:r>
    </w:p>
    <w:p w14:paraId="615E91E3">
      <w:pPr>
        <w:pStyle w:val="7"/>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3.秉承“全产品、全渠道、全价值链”的管理思维，坚持三大品牌游戏协调发展，力争完成自治区中心制定的各项任务目标。一是要做好概率型游戏市场培育工作。将以自治区中心年度乐透游戏市场培育工作规划及要求为依据，结合我市乐透游戏重点网点特点，把市场培育工作做实做细。借助近年来我市树立的明星网点、优秀从业者的区域影响力，全面提升我市实体网点综合运营能力。以营销活动推广为契机，落实好乐透游戏、7星彩、排列游戏年度营促销派奖活动。二是要稳固即开型游戏市场基础。稳固市场基础，进一步强化网点即开基础工作，提升实体店即开经营能力。充分利用实体渠道标签管理，进行即开分类施策，根据渠道特性匹配游戏产品。统筹开展营促销活动，进一步提升品牌宣传并拓展购彩群体。</w:t>
      </w:r>
    </w:p>
    <w:p w14:paraId="40D798E1">
      <w:pPr>
        <w:pStyle w:val="7"/>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themeColor="text1"/>
          <w:sz w:val="30"/>
          <w:szCs w:val="30"/>
          <w:lang w:val="en-US" w:eastAsia="zh-CN"/>
          <w14:textFill>
            <w14:solidFill>
              <w14:schemeClr w14:val="tx1"/>
            </w14:solidFill>
          </w14:textFill>
        </w:rPr>
      </w:pPr>
      <w:bookmarkStart w:id="4" w:name="_GoBack"/>
      <w:bookmarkEnd w:id="4"/>
      <w:r>
        <w:rPr>
          <w:rFonts w:hint="eastAsia" w:ascii="方正仿宋_GB2312" w:hAnsi="方正仿宋_GB2312" w:eastAsia="方正仿宋_GB2312" w:cs="方正仿宋_GB2312"/>
          <w:color w:val="auto"/>
          <w:sz w:val="32"/>
          <w:szCs w:val="32"/>
          <w:lang w:val="en-US" w:eastAsia="zh-CN"/>
        </w:rPr>
        <w:t xml:space="preserve">4.做好两项考核任务。一是完成市体育局对市体彩中心的综合考核任务指标，进一步压紧压实风险防控和安全管理责任，加强风险隐患的排查治理，坚定不移确保安全稳定。二是完成自治区中心对我市制定的以责任彩票、风险防控、渠道建设、品牌运营为重点的各项考核指标，要确保争先创优。 </w:t>
      </w:r>
      <w:r>
        <w:rPr>
          <w:rFonts w:hint="eastAsia" w:ascii="华文仿宋" w:hAnsi="华文仿宋" w:eastAsia="华文仿宋" w:cs="华文仿宋"/>
          <w:color w:val="000000" w:themeColor="text1"/>
          <w:sz w:val="32"/>
          <w:szCs w:val="32"/>
          <w:lang w:eastAsia="zh-CN"/>
          <w14:textFill>
            <w14:solidFill>
              <w14:schemeClr w14:val="tx1"/>
            </w14:solidFill>
          </w14:textFill>
        </w:rPr>
        <w:t xml:space="preserve">     </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 xml:space="preserve">  </w:t>
      </w:r>
      <w:r>
        <w:rPr>
          <w:rFonts w:hint="eastAsia" w:ascii="华文仿宋" w:hAnsi="华文仿宋" w:eastAsia="华文仿宋" w:cs="华文仿宋"/>
          <w:color w:val="000000" w:themeColor="text1"/>
          <w:sz w:val="32"/>
          <w:szCs w:val="32"/>
          <w:lang w:eastAsia="zh-CN"/>
          <w14:textFill>
            <w14:solidFill>
              <w14:schemeClr w14:val="tx1"/>
            </w14:solidFill>
          </w14:textFill>
        </w:rPr>
        <w:t xml:space="preserve"> </w:t>
      </w:r>
    </w:p>
    <w:p w14:paraId="193EE22A">
      <w:pPr>
        <w:spacing w:before="51" w:line="226" w:lineRule="auto"/>
        <w:ind w:left="773"/>
        <w:outlineLvl w:val="2"/>
        <w:rPr>
          <w:rFonts w:ascii="黑体" w:hAnsi="黑体" w:eastAsia="黑体" w:cs="黑体"/>
          <w:color w:val="000000" w:themeColor="text1"/>
          <w:spacing w:val="8"/>
          <w:sz w:val="31"/>
          <w:szCs w:val="31"/>
          <w14:textFill>
            <w14:solidFill>
              <w14:schemeClr w14:val="tx1"/>
            </w14:solidFill>
          </w14:textFill>
        </w:rPr>
      </w:pPr>
    </w:p>
    <w:p w14:paraId="183E7359">
      <w:pPr>
        <w:pStyle w:val="3"/>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highlight w:val="none"/>
        </w:rPr>
      </w:pPr>
      <w:r>
        <w:rPr>
          <w:rFonts w:hint="eastAsia" w:ascii="方正小标宋简体" w:hAnsi="方正小标宋简体" w:eastAsia="方正小标宋简体" w:cs="方正小标宋简体"/>
          <w:b w:val="0"/>
          <w:bCs w:val="0"/>
          <w:sz w:val="36"/>
          <w:szCs w:val="36"/>
          <w:highlight w:val="none"/>
        </w:rPr>
        <w:t>第二部分</w:t>
      </w:r>
      <w:r>
        <w:rPr>
          <w:rFonts w:hint="eastAsia" w:ascii="方正小标宋简体" w:hAnsi="方正小标宋简体" w:eastAsia="方正小标宋简体" w:cs="方正小标宋简体"/>
          <w:b w:val="0"/>
          <w:bCs w:val="0"/>
          <w:sz w:val="36"/>
          <w:szCs w:val="36"/>
          <w:highlight w:val="none"/>
          <w:lang w:val="en-US" w:eastAsia="zh-CN"/>
        </w:rPr>
        <w:t xml:space="preserve">  2026</w:t>
      </w:r>
      <w:r>
        <w:rPr>
          <w:rFonts w:hint="eastAsia" w:ascii="方正小标宋简体" w:hAnsi="方正小标宋简体" w:eastAsia="方正小标宋简体" w:cs="方正小标宋简体"/>
          <w:b w:val="0"/>
          <w:bCs w:val="0"/>
          <w:sz w:val="36"/>
          <w:szCs w:val="36"/>
          <w:highlight w:val="none"/>
        </w:rPr>
        <w:t>年度单位预算情况说明</w:t>
      </w:r>
      <w:bookmarkEnd w:id="1"/>
    </w:p>
    <w:p w14:paraId="4DF70321">
      <w:pPr>
        <w:spacing w:line="600" w:lineRule="exact"/>
        <w:rPr>
          <w:rFonts w:ascii="方正小标宋简体" w:hAnsi="方正小标宋简体" w:eastAsia="方正小标宋简体" w:cs="方正小标宋简体"/>
          <w:sz w:val="36"/>
          <w:szCs w:val="36"/>
          <w:highlight w:val="none"/>
        </w:rPr>
      </w:pPr>
    </w:p>
    <w:p w14:paraId="02A6B20C">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一、收支预算总体情况说明</w:t>
      </w:r>
    </w:p>
    <w:p w14:paraId="06B62FC7">
      <w:pPr>
        <w:pStyle w:val="4"/>
        <w:tabs>
          <w:tab w:val="left" w:pos="5840"/>
          <w:tab w:val="left" w:pos="7858"/>
          <w:tab w:val="left" w:pos="9328"/>
        </w:tabs>
        <w:spacing w:after="0"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
          <w:sz w:val="32"/>
          <w:szCs w:val="32"/>
          <w:highlight w:val="none"/>
          <w:u w:val="single"/>
          <w:lang w:val="en-US" w:eastAsia="zh-CN"/>
        </w:rPr>
        <w:t>巴彦淖尔市体育彩票销售管理中心</w:t>
      </w:r>
      <w:r>
        <w:rPr>
          <w:rFonts w:hint="eastAsia" w:ascii="仿宋_GB2312" w:hAnsi="仿宋_GB2312" w:eastAsia="仿宋_GB2312" w:cs="仿宋_GB2312"/>
          <w:sz w:val="32"/>
          <w:szCs w:val="32"/>
          <w:highlight w:val="none"/>
          <w:u w:val="single"/>
        </w:rPr>
        <w:t>单位</w:t>
      </w:r>
      <w:r>
        <w:rPr>
          <w:rFonts w:hint="eastAsia" w:ascii="仿宋_GB2312" w:hAnsi="仿宋_GB2312" w:eastAsia="仿宋_GB2312" w:cs="仿宋_GB2312"/>
          <w:sz w:val="32"/>
          <w:szCs w:val="32"/>
          <w:highlight w:val="none"/>
          <w:u w:val="single"/>
          <w:lang w:val="en-US" w:eastAsia="zh-CN"/>
        </w:rPr>
        <w:t>2026</w:t>
      </w:r>
      <w:r>
        <w:rPr>
          <w:rFonts w:hint="eastAsia" w:ascii="仿宋_GB2312" w:hAnsi="仿宋_GB2312" w:eastAsia="仿宋_GB2312" w:cs="仿宋_GB2312"/>
          <w:sz w:val="32"/>
          <w:szCs w:val="32"/>
          <w:highlight w:val="none"/>
        </w:rPr>
        <w:t>年度收入、支出预算总计</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229.1</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万元，与上年相比收、支预算总计各</w:t>
      </w:r>
      <w:r>
        <w:rPr>
          <w:rFonts w:hint="eastAsia" w:ascii="仿宋_GB2312" w:hAnsi="仿宋_GB2312" w:eastAsia="仿宋_GB2312" w:cs="仿宋_GB2312"/>
          <w:sz w:val="32"/>
          <w:szCs w:val="32"/>
          <w:highlight w:val="none"/>
          <w:lang w:eastAsia="zh-CN"/>
        </w:rPr>
        <w:t>减少</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263.74</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减少</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53.51</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%。其中：</w:t>
      </w:r>
    </w:p>
    <w:p w14:paraId="7467EA4E">
      <w:pPr>
        <w:pStyle w:val="4"/>
        <w:tabs>
          <w:tab w:val="left" w:pos="4275"/>
        </w:tabs>
        <w:spacing w:after="0" w:line="600" w:lineRule="exact"/>
        <w:ind w:firstLine="643" w:firstLineChars="200"/>
        <w:rPr>
          <w:rFonts w:ascii="楷体" w:hAnsi="楷体" w:eastAsia="楷体" w:cs="楷体"/>
          <w:b/>
          <w:bCs/>
          <w:sz w:val="32"/>
          <w:szCs w:val="32"/>
          <w:highlight w:val="none"/>
        </w:rPr>
      </w:pPr>
      <w:r>
        <w:rPr>
          <w:rFonts w:hint="eastAsia" w:ascii="楷体" w:hAnsi="楷体" w:eastAsia="楷体" w:cs="楷体"/>
          <w:b/>
          <w:bCs/>
          <w:sz w:val="32"/>
          <w:szCs w:val="32"/>
          <w:highlight w:val="none"/>
        </w:rPr>
        <w:t>（一）收入预算总计</w:t>
      </w:r>
      <w:r>
        <w:rPr>
          <w:rFonts w:hint="eastAsia" w:ascii="Times New Roman" w:hAnsi="Times New Roman" w:eastAsia="仿宋_GB2312" w:cs="仿宋"/>
          <w:sz w:val="32"/>
          <w:szCs w:val="32"/>
          <w:highlight w:val="none"/>
          <w:u w:val="single"/>
        </w:rPr>
        <w:t xml:space="preserve">  </w:t>
      </w:r>
      <w:r>
        <w:rPr>
          <w:rFonts w:hint="eastAsia" w:eastAsia="仿宋_GB2312" w:cs="仿宋"/>
          <w:sz w:val="32"/>
          <w:szCs w:val="32"/>
          <w:highlight w:val="none"/>
          <w:u w:val="single"/>
          <w:lang w:val="en-US" w:eastAsia="zh-CN"/>
        </w:rPr>
        <w:t>229.1</w:t>
      </w:r>
      <w:r>
        <w:rPr>
          <w:rFonts w:hint="eastAsia" w:ascii="Times New Roman" w:hAnsi="Times New Roman" w:eastAsia="仿宋_GB2312" w:cs="仿宋"/>
          <w:sz w:val="32"/>
          <w:szCs w:val="32"/>
          <w:highlight w:val="none"/>
          <w:u w:val="single"/>
        </w:rPr>
        <w:t xml:space="preserve">  </w:t>
      </w:r>
      <w:r>
        <w:rPr>
          <w:rFonts w:hint="eastAsia" w:ascii="楷体" w:hAnsi="楷体" w:eastAsia="楷体" w:cs="楷体"/>
          <w:b/>
          <w:bCs/>
          <w:sz w:val="32"/>
          <w:szCs w:val="32"/>
          <w:highlight w:val="none"/>
        </w:rPr>
        <w:t>万元。包括：</w:t>
      </w:r>
    </w:p>
    <w:p w14:paraId="40326120">
      <w:pPr>
        <w:pStyle w:val="4"/>
        <w:tabs>
          <w:tab w:val="left" w:pos="3792"/>
        </w:tabs>
        <w:spacing w:after="0" w:line="600" w:lineRule="exact"/>
        <w:ind w:firstLine="640" w:firstLineChars="200"/>
        <w:rPr>
          <w:rFonts w:eastAsia="仿宋_GB2312"/>
          <w:sz w:val="32"/>
          <w:szCs w:val="32"/>
          <w:highlight w:val="none"/>
        </w:rPr>
      </w:pPr>
      <w:r>
        <w:rPr>
          <w:rFonts w:eastAsia="仿宋_GB2312"/>
          <w:sz w:val="32"/>
          <w:szCs w:val="32"/>
          <w:highlight w:val="none"/>
        </w:rPr>
        <w:t>1．本年收入合计</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w:t>
      </w:r>
    </w:p>
    <w:p w14:paraId="21ED3E68">
      <w:pPr>
        <w:pStyle w:val="4"/>
        <w:tabs>
          <w:tab w:val="left" w:pos="1389"/>
          <w:tab w:val="left" w:pos="4911"/>
          <w:tab w:val="left" w:pos="5898"/>
        </w:tabs>
        <w:spacing w:after="0" w:line="600" w:lineRule="exact"/>
        <w:ind w:firstLine="640" w:firstLineChars="200"/>
        <w:rPr>
          <w:rFonts w:eastAsia="仿宋_GB2312"/>
          <w:sz w:val="32"/>
          <w:szCs w:val="32"/>
          <w:highlight w:val="none"/>
        </w:rPr>
      </w:pPr>
      <w:r>
        <w:rPr>
          <w:rFonts w:eastAsia="仿宋_GB2312"/>
          <w:sz w:val="32"/>
          <w:szCs w:val="32"/>
          <w:highlight w:val="none"/>
        </w:rPr>
        <w:t>（1）一般公共预算拨款收入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eastAsia="仿宋_GB2312"/>
          <w:sz w:val="32"/>
          <w:szCs w:val="32"/>
          <w:highlight w:val="none"/>
          <w:lang w:val="en-US" w:eastAsia="zh-CN"/>
        </w:rPr>
        <w:t>不存在此项内容</w:t>
      </w:r>
      <w:r>
        <w:rPr>
          <w:rFonts w:eastAsia="仿宋_GB2312"/>
          <w:sz w:val="32"/>
          <w:szCs w:val="32"/>
          <w:highlight w:val="none"/>
        </w:rPr>
        <w:t>。</w:t>
      </w:r>
    </w:p>
    <w:p w14:paraId="20730E94">
      <w:pPr>
        <w:pStyle w:val="4"/>
        <w:tabs>
          <w:tab w:val="left" w:pos="1389"/>
          <w:tab w:val="left" w:pos="4911"/>
          <w:tab w:val="left" w:pos="5991"/>
        </w:tabs>
        <w:spacing w:after="0" w:line="600" w:lineRule="exact"/>
        <w:ind w:firstLine="640" w:firstLineChars="200"/>
        <w:rPr>
          <w:rFonts w:eastAsia="仿宋_GB2312"/>
          <w:sz w:val="32"/>
          <w:szCs w:val="32"/>
          <w:highlight w:val="none"/>
        </w:rPr>
      </w:pPr>
      <w:r>
        <w:rPr>
          <w:rFonts w:eastAsia="仿宋_GB2312"/>
          <w:sz w:val="32"/>
          <w:szCs w:val="32"/>
          <w:highlight w:val="none"/>
        </w:rPr>
        <w:t>（2）政府性基金预算拨款收入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229.1</w:t>
      </w:r>
      <w:r>
        <w:rPr>
          <w:rFonts w:eastAsia="仿宋_GB2312"/>
          <w:sz w:val="32"/>
          <w:szCs w:val="32"/>
          <w:highlight w:val="none"/>
          <w:u w:val="single"/>
        </w:rPr>
        <w:t xml:space="preserve">  </w:t>
      </w:r>
      <w:r>
        <w:rPr>
          <w:rFonts w:eastAsia="仿宋_GB2312"/>
          <w:sz w:val="32"/>
          <w:szCs w:val="32"/>
          <w:highlight w:val="none"/>
        </w:rPr>
        <w:t>万元，与上年相比</w:t>
      </w:r>
      <w:r>
        <w:rPr>
          <w:rFonts w:hint="eastAsia" w:eastAsia="仿宋_GB2312"/>
          <w:sz w:val="32"/>
          <w:szCs w:val="32"/>
          <w:highlight w:val="none"/>
          <w:lang w:eastAsia="zh-CN"/>
        </w:rPr>
        <w:t>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263.74</w:t>
      </w:r>
      <w:r>
        <w:rPr>
          <w:rFonts w:eastAsia="仿宋_GB2312"/>
          <w:sz w:val="32"/>
          <w:szCs w:val="32"/>
          <w:highlight w:val="none"/>
        </w:rPr>
        <w:t>万元，</w:t>
      </w:r>
      <w:r>
        <w:rPr>
          <w:rFonts w:hint="eastAsia" w:eastAsia="仿宋_GB2312"/>
          <w:sz w:val="32"/>
          <w:szCs w:val="32"/>
          <w:highlight w:val="none"/>
          <w:lang w:eastAsia="zh-CN"/>
        </w:rPr>
        <w:t>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53.51</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eastAsia="仿宋_GB2312"/>
          <w:sz w:val="32"/>
          <w:szCs w:val="32"/>
          <w:highlight w:val="none"/>
          <w:lang w:val="en-US" w:eastAsia="zh-CN"/>
        </w:rPr>
        <w:t>2026年提前下达盟市业务费指标下达晚未纳入年初预算</w:t>
      </w:r>
      <w:r>
        <w:rPr>
          <w:rFonts w:eastAsia="仿宋_GB2312"/>
          <w:sz w:val="32"/>
          <w:szCs w:val="32"/>
          <w:highlight w:val="none"/>
        </w:rPr>
        <w:t>。</w:t>
      </w:r>
    </w:p>
    <w:p w14:paraId="46A4949D">
      <w:pPr>
        <w:pStyle w:val="4"/>
        <w:tabs>
          <w:tab w:val="left" w:pos="1389"/>
          <w:tab w:val="left" w:pos="4911"/>
          <w:tab w:val="left" w:pos="6205"/>
        </w:tabs>
        <w:spacing w:after="0" w:line="600" w:lineRule="exact"/>
        <w:ind w:firstLine="640" w:firstLineChars="200"/>
        <w:rPr>
          <w:rFonts w:eastAsia="仿宋_GB2312"/>
          <w:sz w:val="32"/>
          <w:szCs w:val="32"/>
          <w:highlight w:val="none"/>
        </w:rPr>
      </w:pPr>
      <w:r>
        <w:rPr>
          <w:rFonts w:eastAsia="仿宋_GB2312"/>
          <w:sz w:val="32"/>
          <w:szCs w:val="32"/>
          <w:highlight w:val="none"/>
        </w:rPr>
        <w:t>（3）国有资本经营预算拨款收入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w:t>
      </w:r>
      <w:r>
        <w:rPr>
          <w:rFonts w:hint="eastAsia" w:eastAsia="仿宋_GB2312"/>
          <w:sz w:val="32"/>
          <w:szCs w:val="32"/>
          <w:highlight w:val="none"/>
          <w:lang w:val="en-US" w:eastAsia="zh-CN"/>
        </w:rPr>
        <w:t>0</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eastAsia="仿宋_GB2312"/>
          <w:sz w:val="32"/>
          <w:szCs w:val="32"/>
          <w:highlight w:val="none"/>
          <w:lang w:val="en-US" w:eastAsia="zh-CN"/>
        </w:rPr>
        <w:t>不存在此项内容</w:t>
      </w:r>
      <w:r>
        <w:rPr>
          <w:rFonts w:eastAsia="仿宋_GB2312"/>
          <w:sz w:val="32"/>
          <w:szCs w:val="32"/>
          <w:highlight w:val="none"/>
        </w:rPr>
        <w:t>。</w:t>
      </w:r>
    </w:p>
    <w:p w14:paraId="2EFCB2FB">
      <w:pPr>
        <w:pStyle w:val="4"/>
        <w:tabs>
          <w:tab w:val="left" w:pos="1389"/>
          <w:tab w:val="left" w:pos="4911"/>
          <w:tab w:val="left" w:pos="5898"/>
        </w:tabs>
        <w:spacing w:after="0" w:line="600" w:lineRule="exact"/>
        <w:ind w:firstLine="640" w:firstLineChars="200"/>
        <w:rPr>
          <w:rFonts w:eastAsia="仿宋_GB2312"/>
          <w:sz w:val="32"/>
          <w:szCs w:val="32"/>
          <w:highlight w:val="none"/>
        </w:rPr>
      </w:pPr>
      <w:r>
        <w:rPr>
          <w:rFonts w:eastAsia="仿宋_GB2312"/>
          <w:sz w:val="32"/>
          <w:szCs w:val="32"/>
          <w:highlight w:val="none"/>
        </w:rPr>
        <w:t>（4）财政专户管理资金收入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w:t>
      </w:r>
      <w:r>
        <w:rPr>
          <w:rFonts w:hint="eastAsia" w:eastAsia="仿宋_GB2312"/>
          <w:sz w:val="32"/>
          <w:szCs w:val="32"/>
          <w:highlight w:val="none"/>
          <w:lang w:val="en-US" w:eastAsia="zh-CN"/>
        </w:rPr>
        <w:t>0</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eastAsia="仿宋_GB2312"/>
          <w:sz w:val="32"/>
          <w:szCs w:val="32"/>
          <w:highlight w:val="none"/>
          <w:lang w:val="en-US" w:eastAsia="zh-CN"/>
        </w:rPr>
        <w:t>不存在此项内容</w:t>
      </w:r>
      <w:r>
        <w:rPr>
          <w:rFonts w:eastAsia="仿宋_GB2312"/>
          <w:sz w:val="32"/>
          <w:szCs w:val="32"/>
          <w:highlight w:val="none"/>
        </w:rPr>
        <w:t>。</w:t>
      </w:r>
    </w:p>
    <w:p w14:paraId="24026BF1">
      <w:pPr>
        <w:pStyle w:val="4"/>
        <w:tabs>
          <w:tab w:val="left" w:pos="3310"/>
          <w:tab w:val="left" w:pos="3807"/>
          <w:tab w:val="left" w:pos="9433"/>
        </w:tabs>
        <w:spacing w:after="0" w:line="600" w:lineRule="exact"/>
        <w:ind w:firstLine="640" w:firstLineChars="200"/>
        <w:rPr>
          <w:rFonts w:eastAsia="仿宋_GB2312"/>
          <w:sz w:val="32"/>
          <w:szCs w:val="32"/>
          <w:highlight w:val="none"/>
        </w:rPr>
      </w:pPr>
      <w:r>
        <w:rPr>
          <w:rFonts w:eastAsia="仿宋_GB2312"/>
          <w:sz w:val="32"/>
          <w:szCs w:val="32"/>
          <w:highlight w:val="none"/>
        </w:rPr>
        <w:t>（5）事业收入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eastAsia="仿宋_GB2312"/>
          <w:sz w:val="32"/>
          <w:szCs w:val="32"/>
          <w:highlight w:val="none"/>
          <w:lang w:val="en-US" w:eastAsia="zh-CN"/>
        </w:rPr>
        <w:t>不存在此项内容</w:t>
      </w:r>
      <w:r>
        <w:rPr>
          <w:rFonts w:eastAsia="仿宋_GB2312"/>
          <w:sz w:val="32"/>
          <w:szCs w:val="32"/>
          <w:highlight w:val="none"/>
        </w:rPr>
        <w:t>。</w:t>
      </w:r>
    </w:p>
    <w:p w14:paraId="78683507">
      <w:pPr>
        <w:pStyle w:val="4"/>
        <w:tabs>
          <w:tab w:val="left" w:pos="1389"/>
          <w:tab w:val="left" w:pos="4911"/>
          <w:tab w:val="left" w:pos="5900"/>
        </w:tabs>
        <w:spacing w:after="0" w:line="600" w:lineRule="exact"/>
        <w:ind w:firstLine="640" w:firstLineChars="200"/>
        <w:rPr>
          <w:rFonts w:eastAsia="仿宋_GB2312"/>
          <w:sz w:val="32"/>
          <w:szCs w:val="32"/>
          <w:highlight w:val="none"/>
        </w:rPr>
      </w:pPr>
      <w:r>
        <w:rPr>
          <w:rFonts w:eastAsia="仿宋_GB2312"/>
          <w:sz w:val="32"/>
          <w:szCs w:val="32"/>
          <w:highlight w:val="none"/>
        </w:rPr>
        <w:t>（6）事业单位经营收入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eastAsia="仿宋_GB2312"/>
          <w:sz w:val="32"/>
          <w:szCs w:val="32"/>
          <w:highlight w:val="none"/>
          <w:lang w:val="en-US" w:eastAsia="zh-CN"/>
        </w:rPr>
        <w:t>不存在此项内容</w:t>
      </w:r>
      <w:r>
        <w:rPr>
          <w:rFonts w:eastAsia="仿宋_GB2312"/>
          <w:sz w:val="32"/>
          <w:szCs w:val="32"/>
          <w:highlight w:val="none"/>
        </w:rPr>
        <w:t>。</w:t>
      </w:r>
    </w:p>
    <w:p w14:paraId="546F35BD">
      <w:pPr>
        <w:pStyle w:val="4"/>
        <w:tabs>
          <w:tab w:val="left" w:pos="4320"/>
          <w:tab w:val="left" w:pos="9433"/>
        </w:tabs>
        <w:spacing w:after="0" w:line="600" w:lineRule="exact"/>
        <w:ind w:firstLine="640" w:firstLineChars="200"/>
        <w:rPr>
          <w:rFonts w:eastAsia="仿宋_GB2312"/>
          <w:sz w:val="32"/>
          <w:szCs w:val="32"/>
          <w:highlight w:val="none"/>
        </w:rPr>
      </w:pPr>
      <w:r>
        <w:rPr>
          <w:rFonts w:eastAsia="仿宋_GB2312"/>
          <w:sz w:val="32"/>
          <w:szCs w:val="32"/>
          <w:highlight w:val="none"/>
        </w:rPr>
        <w:t>（7）上级补助收入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eastAsia="仿宋_GB2312"/>
          <w:sz w:val="32"/>
          <w:szCs w:val="32"/>
          <w:highlight w:val="none"/>
          <w:lang w:val="en-US" w:eastAsia="zh-CN"/>
        </w:rPr>
        <w:t>不存在此项内容</w:t>
      </w:r>
      <w:r>
        <w:rPr>
          <w:rFonts w:eastAsia="仿宋_GB2312"/>
          <w:sz w:val="32"/>
          <w:szCs w:val="32"/>
          <w:highlight w:val="none"/>
        </w:rPr>
        <w:t>。</w:t>
      </w:r>
    </w:p>
    <w:p w14:paraId="14568834">
      <w:pPr>
        <w:pStyle w:val="4"/>
        <w:tabs>
          <w:tab w:val="left" w:pos="1389"/>
          <w:tab w:val="left" w:pos="4911"/>
          <w:tab w:val="left" w:pos="5900"/>
        </w:tabs>
        <w:spacing w:after="0" w:line="600" w:lineRule="exact"/>
        <w:ind w:firstLine="640" w:firstLineChars="200"/>
        <w:rPr>
          <w:rFonts w:eastAsia="仿宋_GB2312"/>
          <w:sz w:val="32"/>
          <w:szCs w:val="32"/>
          <w:highlight w:val="none"/>
        </w:rPr>
      </w:pPr>
      <w:r>
        <w:rPr>
          <w:rFonts w:eastAsia="仿宋_GB2312"/>
          <w:sz w:val="32"/>
          <w:szCs w:val="32"/>
          <w:highlight w:val="none"/>
        </w:rPr>
        <w:t>（8）附属单位上缴收入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w:t>
      </w:r>
      <w:r>
        <w:rPr>
          <w:rFonts w:hint="eastAsia" w:eastAsia="仿宋_GB2312"/>
          <w:sz w:val="32"/>
          <w:szCs w:val="32"/>
          <w:highlight w:val="none"/>
          <w:lang w:val="en-US" w:eastAsia="zh-CN"/>
        </w:rPr>
        <w:t>0</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eastAsia="仿宋_GB2312"/>
          <w:sz w:val="32"/>
          <w:szCs w:val="32"/>
          <w:highlight w:val="none"/>
          <w:lang w:val="en-US" w:eastAsia="zh-CN"/>
        </w:rPr>
        <w:t>不存在此项内容</w:t>
      </w:r>
      <w:r>
        <w:rPr>
          <w:rFonts w:eastAsia="仿宋_GB2312"/>
          <w:sz w:val="32"/>
          <w:szCs w:val="32"/>
          <w:highlight w:val="none"/>
        </w:rPr>
        <w:t>。</w:t>
      </w:r>
    </w:p>
    <w:p w14:paraId="2ECB7356">
      <w:pPr>
        <w:pStyle w:val="4"/>
        <w:tabs>
          <w:tab w:val="left" w:pos="3310"/>
          <w:tab w:val="left" w:pos="4121"/>
          <w:tab w:val="left" w:pos="9431"/>
        </w:tabs>
        <w:spacing w:after="0" w:line="600" w:lineRule="exact"/>
        <w:ind w:firstLine="640" w:firstLineChars="200"/>
        <w:rPr>
          <w:rFonts w:eastAsia="仿宋_GB2312"/>
          <w:sz w:val="32"/>
          <w:szCs w:val="32"/>
          <w:highlight w:val="none"/>
        </w:rPr>
      </w:pPr>
      <w:r>
        <w:rPr>
          <w:rFonts w:eastAsia="仿宋_GB2312"/>
          <w:sz w:val="32"/>
          <w:szCs w:val="32"/>
          <w:highlight w:val="none"/>
        </w:rPr>
        <w:t>（9）其他收入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eastAsia="仿宋_GB2312"/>
          <w:sz w:val="32"/>
          <w:szCs w:val="32"/>
          <w:highlight w:val="none"/>
          <w:lang w:val="en-US" w:eastAsia="zh-CN"/>
        </w:rPr>
        <w:t>不存在此项内容</w:t>
      </w:r>
      <w:r>
        <w:rPr>
          <w:rFonts w:eastAsia="仿宋_GB2312"/>
          <w:sz w:val="32"/>
          <w:szCs w:val="32"/>
          <w:highlight w:val="none"/>
        </w:rPr>
        <w:t>。</w:t>
      </w:r>
    </w:p>
    <w:p w14:paraId="78F66083">
      <w:pPr>
        <w:pStyle w:val="4"/>
        <w:tabs>
          <w:tab w:val="left" w:pos="1389"/>
          <w:tab w:val="left" w:pos="4911"/>
          <w:tab w:val="left" w:pos="5991"/>
        </w:tabs>
        <w:spacing w:after="0" w:line="600" w:lineRule="exact"/>
        <w:ind w:firstLine="640" w:firstLineChars="200"/>
        <w:rPr>
          <w:rFonts w:eastAsia="仿宋_GB2312"/>
          <w:sz w:val="32"/>
          <w:szCs w:val="32"/>
          <w:highlight w:val="none"/>
        </w:rPr>
      </w:pPr>
      <w:r>
        <w:rPr>
          <w:rFonts w:eastAsia="仿宋_GB2312"/>
          <w:sz w:val="32"/>
          <w:szCs w:val="32"/>
          <w:highlight w:val="none"/>
        </w:rPr>
        <w:t>2．上年结转结余</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229.1</w:t>
      </w:r>
      <w:r>
        <w:rPr>
          <w:rFonts w:eastAsia="仿宋_GB2312"/>
          <w:sz w:val="32"/>
          <w:szCs w:val="32"/>
          <w:highlight w:val="none"/>
          <w:u w:val="single"/>
        </w:rPr>
        <w:t xml:space="preserve">  </w:t>
      </w:r>
      <w:r>
        <w:rPr>
          <w:rFonts w:eastAsia="仿宋_GB2312"/>
          <w:sz w:val="32"/>
          <w:szCs w:val="32"/>
          <w:highlight w:val="none"/>
        </w:rPr>
        <w:t>万元。与上年相比增加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28.26</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14.07</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eastAsia="仿宋_GB2312"/>
          <w:sz w:val="32"/>
          <w:szCs w:val="32"/>
          <w:highlight w:val="none"/>
          <w:lang w:val="en-US" w:eastAsia="zh-CN"/>
        </w:rPr>
        <w:t>25年第三批业务费指标下达较晚。</w:t>
      </w:r>
    </w:p>
    <w:p w14:paraId="50671F03">
      <w:pPr>
        <w:pStyle w:val="4"/>
        <w:tabs>
          <w:tab w:val="left" w:pos="4275"/>
        </w:tabs>
        <w:spacing w:after="0" w:line="600" w:lineRule="exact"/>
        <w:ind w:firstLine="643" w:firstLineChars="200"/>
        <w:rPr>
          <w:rFonts w:ascii="楷体" w:hAnsi="楷体" w:eastAsia="楷体" w:cs="楷体"/>
          <w:b/>
          <w:bCs/>
          <w:sz w:val="32"/>
          <w:szCs w:val="32"/>
          <w:highlight w:val="none"/>
        </w:rPr>
      </w:pPr>
      <w:r>
        <w:rPr>
          <w:rFonts w:hint="eastAsia" w:ascii="楷体" w:hAnsi="楷体" w:eastAsia="楷体" w:cs="楷体"/>
          <w:b/>
          <w:bCs/>
          <w:sz w:val="32"/>
          <w:szCs w:val="32"/>
          <w:highlight w:val="none"/>
        </w:rPr>
        <w:t>（二）支出预算总计</w:t>
      </w:r>
      <w:r>
        <w:rPr>
          <w:rFonts w:hint="eastAsia" w:ascii="Times New Roman" w:hAnsi="Times New Roman" w:eastAsia="仿宋_GB2312" w:cs="仿宋"/>
          <w:sz w:val="32"/>
          <w:szCs w:val="32"/>
          <w:highlight w:val="none"/>
          <w:u w:val="single"/>
        </w:rPr>
        <w:t xml:space="preserve">  </w:t>
      </w:r>
      <w:r>
        <w:rPr>
          <w:rFonts w:hint="eastAsia" w:eastAsia="仿宋_GB2312" w:cs="仿宋"/>
          <w:sz w:val="32"/>
          <w:szCs w:val="32"/>
          <w:highlight w:val="none"/>
          <w:u w:val="single"/>
          <w:lang w:val="en-US" w:eastAsia="zh-CN"/>
        </w:rPr>
        <w:t>0</w:t>
      </w:r>
      <w:r>
        <w:rPr>
          <w:rFonts w:hint="eastAsia" w:ascii="Times New Roman" w:hAnsi="Times New Roman" w:eastAsia="仿宋_GB2312" w:cs="仿宋"/>
          <w:sz w:val="32"/>
          <w:szCs w:val="32"/>
          <w:highlight w:val="none"/>
          <w:u w:val="single"/>
        </w:rPr>
        <w:t xml:space="preserve">  </w:t>
      </w:r>
      <w:r>
        <w:rPr>
          <w:rFonts w:hint="eastAsia" w:ascii="楷体" w:hAnsi="楷体" w:eastAsia="楷体" w:cs="楷体"/>
          <w:b/>
          <w:bCs/>
          <w:sz w:val="32"/>
          <w:szCs w:val="32"/>
          <w:highlight w:val="none"/>
        </w:rPr>
        <w:t>万元。包括：</w:t>
      </w:r>
    </w:p>
    <w:p w14:paraId="110622DB">
      <w:pPr>
        <w:pStyle w:val="4"/>
        <w:tabs>
          <w:tab w:val="left" w:pos="3792"/>
        </w:tabs>
        <w:spacing w:after="0" w:line="600" w:lineRule="exact"/>
        <w:ind w:firstLine="640" w:firstLineChars="200"/>
        <w:rPr>
          <w:rFonts w:eastAsia="仿宋_GB2312"/>
          <w:sz w:val="32"/>
          <w:szCs w:val="32"/>
          <w:highlight w:val="none"/>
        </w:rPr>
      </w:pPr>
      <w:r>
        <w:rPr>
          <w:rFonts w:eastAsia="仿宋_GB2312"/>
          <w:sz w:val="32"/>
          <w:szCs w:val="32"/>
          <w:highlight w:val="none"/>
        </w:rPr>
        <w:t>1．本年支出合计</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w:t>
      </w:r>
    </w:p>
    <w:p w14:paraId="28EB4CBD">
      <w:pPr>
        <w:pStyle w:val="4"/>
        <w:tabs>
          <w:tab w:val="left" w:pos="3288"/>
          <w:tab w:val="left" w:pos="5641"/>
          <w:tab w:val="left" w:pos="6778"/>
        </w:tabs>
        <w:spacing w:after="0" w:line="600" w:lineRule="exact"/>
        <w:ind w:firstLine="640" w:firstLineChars="200"/>
        <w:rPr>
          <w:rFonts w:eastAsia="仿宋_GB2312"/>
          <w:sz w:val="32"/>
          <w:szCs w:val="32"/>
          <w:highlight w:val="none"/>
        </w:rPr>
      </w:pPr>
      <w:r>
        <w:rPr>
          <w:rFonts w:eastAsia="仿宋_GB2312"/>
          <w:sz w:val="32"/>
          <w:szCs w:val="32"/>
          <w:highlight w:val="none"/>
        </w:rPr>
        <w:t>（1）一般公共服务（类）支出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万元，主要用于</w:t>
      </w:r>
      <w:r>
        <w:rPr>
          <w:rFonts w:hint="eastAsia" w:eastAsia="仿宋_GB2312"/>
          <w:sz w:val="32"/>
          <w:szCs w:val="32"/>
          <w:highlight w:val="none"/>
          <w:lang w:val="en-US" w:eastAsia="zh-CN"/>
        </w:rPr>
        <w:t>不存在此项内容</w:t>
      </w:r>
      <w:r>
        <w:rPr>
          <w:rFonts w:eastAsia="仿宋_GB2312"/>
          <w:sz w:val="32"/>
          <w:szCs w:val="32"/>
          <w:highlight w:val="none"/>
        </w:rPr>
        <w:t>。与上年相比增加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eastAsia="仿宋_GB2312"/>
          <w:sz w:val="32"/>
          <w:szCs w:val="32"/>
          <w:highlight w:val="none"/>
          <w:lang w:val="en-US" w:eastAsia="zh-CN"/>
        </w:rPr>
        <w:t>不存在此项内容</w:t>
      </w:r>
      <w:r>
        <w:rPr>
          <w:rFonts w:eastAsia="仿宋_GB2312"/>
          <w:sz w:val="32"/>
          <w:szCs w:val="32"/>
          <w:highlight w:val="none"/>
        </w:rPr>
        <w:t>。</w:t>
      </w:r>
    </w:p>
    <w:p w14:paraId="1386F637">
      <w:pPr>
        <w:pStyle w:val="4"/>
        <w:tabs>
          <w:tab w:val="left" w:pos="2671"/>
          <w:tab w:val="left" w:pos="5000"/>
          <w:tab w:val="left" w:pos="6190"/>
        </w:tabs>
        <w:spacing w:after="0" w:line="600" w:lineRule="exact"/>
        <w:ind w:firstLine="640" w:firstLineChars="200"/>
        <w:rPr>
          <w:rFonts w:ascii="Times New Roman" w:hAnsi="Times New Roman" w:eastAsia="仿宋_GB2312" w:cs="仿宋"/>
          <w:sz w:val="32"/>
          <w:szCs w:val="32"/>
          <w:highlight w:val="none"/>
        </w:rPr>
      </w:pPr>
      <w:r>
        <w:rPr>
          <w:rFonts w:eastAsia="仿宋_GB2312"/>
          <w:sz w:val="32"/>
          <w:szCs w:val="32"/>
          <w:highlight w:val="none"/>
        </w:rPr>
        <w:t>（2）公共安全（类）支出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万元，主要用于</w:t>
      </w:r>
      <w:r>
        <w:rPr>
          <w:rFonts w:hint="eastAsia" w:eastAsia="仿宋_GB2312"/>
          <w:sz w:val="32"/>
          <w:szCs w:val="32"/>
          <w:highlight w:val="none"/>
          <w:lang w:val="en-US" w:eastAsia="zh-CN"/>
        </w:rPr>
        <w:t>不存在此项内容</w:t>
      </w:r>
      <w:r>
        <w:rPr>
          <w:rFonts w:eastAsia="仿宋_GB2312"/>
          <w:sz w:val="32"/>
          <w:szCs w:val="32"/>
          <w:highlight w:val="none"/>
        </w:rPr>
        <w:t>。与上年相比增加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eastAsia="仿宋_GB2312"/>
          <w:sz w:val="32"/>
          <w:szCs w:val="32"/>
          <w:highlight w:val="none"/>
          <w:lang w:val="en-US" w:eastAsia="zh-CN"/>
        </w:rPr>
        <w:t>不存在此项内容</w:t>
      </w:r>
      <w:r>
        <w:rPr>
          <w:rFonts w:eastAsia="仿宋_GB2312"/>
          <w:sz w:val="32"/>
          <w:szCs w:val="32"/>
          <w:highlight w:val="none"/>
        </w:rPr>
        <w:t>。</w:t>
      </w:r>
    </w:p>
    <w:p w14:paraId="1316C151">
      <w:pPr>
        <w:pStyle w:val="4"/>
        <w:tabs>
          <w:tab w:val="left" w:pos="4112"/>
        </w:tabs>
        <w:spacing w:after="0" w:line="600" w:lineRule="exact"/>
        <w:ind w:firstLine="640" w:firstLineChars="200"/>
        <w:rPr>
          <w:rFonts w:eastAsia="仿宋_GB2312"/>
          <w:sz w:val="32"/>
          <w:szCs w:val="32"/>
          <w:highlight w:val="none"/>
        </w:rPr>
      </w:pPr>
      <w:r>
        <w:rPr>
          <w:rFonts w:eastAsia="仿宋_GB2312"/>
          <w:sz w:val="32"/>
          <w:szCs w:val="32"/>
          <w:highlight w:val="none"/>
        </w:rPr>
        <w:t>2．年终结转结余</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万元，主要原因是</w:t>
      </w:r>
      <w:r>
        <w:rPr>
          <w:rFonts w:hint="eastAsia" w:eastAsia="仿宋_GB2312"/>
          <w:sz w:val="32"/>
          <w:szCs w:val="32"/>
          <w:highlight w:val="none"/>
          <w:lang w:val="en-US" w:eastAsia="zh-CN"/>
        </w:rPr>
        <w:t>不存在此项内容</w:t>
      </w:r>
      <w:r>
        <w:rPr>
          <w:rFonts w:eastAsia="仿宋_GB2312"/>
          <w:sz w:val="32"/>
          <w:szCs w:val="32"/>
          <w:highlight w:val="none"/>
        </w:rPr>
        <w:t>。</w:t>
      </w:r>
    </w:p>
    <w:p w14:paraId="40D71709">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二、收入预算情况说明</w:t>
      </w:r>
    </w:p>
    <w:p w14:paraId="2F3C1D54">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hint="eastAsia" w:ascii="仿宋_GB2312" w:hAnsi="仿宋_GB2312" w:eastAsia="仿宋_GB2312" w:cs="仿宋_GB2312"/>
          <w:sz w:val="32"/>
          <w:szCs w:val="32"/>
          <w:highlight w:val="none"/>
          <w:u w:val="single"/>
          <w:lang w:val="en-US" w:eastAsia="zh-CN"/>
        </w:rPr>
        <w:t>巴彦淖尔市体育彩票销售管理中心</w:t>
      </w:r>
      <w:r>
        <w:rPr>
          <w:rFonts w:hint="eastAsia" w:ascii="仿宋_GB2312" w:hAnsi="仿宋_GB2312" w:eastAsia="仿宋_GB2312" w:cs="仿宋_GB2312"/>
          <w:sz w:val="32"/>
          <w:szCs w:val="32"/>
          <w:highlight w:val="none"/>
          <w:u w:val="single"/>
        </w:rPr>
        <w:t>单位</w:t>
      </w:r>
      <w:r>
        <w:rPr>
          <w:rFonts w:hint="eastAsia" w:ascii="仿宋_GB2312" w:hAnsi="仿宋_GB2312" w:eastAsia="仿宋_GB2312" w:cs="仿宋_GB2312"/>
          <w:sz w:val="32"/>
          <w:szCs w:val="32"/>
          <w:highlight w:val="none"/>
          <w:lang w:val="en-US" w:eastAsia="zh-CN"/>
        </w:rPr>
        <w:t>2026</w:t>
      </w:r>
      <w:r>
        <w:rPr>
          <w:rFonts w:hint="eastAsia" w:ascii="仿宋_GB2312" w:hAnsi="仿宋_GB2312" w:eastAsia="仿宋_GB2312" w:cs="仿宋_GB2312"/>
          <w:sz w:val="32"/>
          <w:szCs w:val="32"/>
          <w:highlight w:val="none"/>
        </w:rPr>
        <w:t>年度</w:t>
      </w:r>
      <w:r>
        <w:rPr>
          <w:rFonts w:eastAsia="仿宋_GB2312"/>
          <w:sz w:val="32"/>
          <w:szCs w:val="32"/>
          <w:highlight w:val="none"/>
        </w:rPr>
        <w:t>收入预算</w:t>
      </w:r>
      <w:r>
        <w:rPr>
          <w:rFonts w:hint="eastAsia" w:eastAsia="仿宋_GB2312"/>
          <w:sz w:val="32"/>
          <w:szCs w:val="32"/>
          <w:highlight w:val="none"/>
          <w:lang w:val="en-US" w:eastAsia="zh-CN"/>
        </w:rPr>
        <w:t>总</w:t>
      </w:r>
      <w:r>
        <w:rPr>
          <w:rFonts w:eastAsia="仿宋_GB2312"/>
          <w:sz w:val="32"/>
          <w:szCs w:val="32"/>
          <w:highlight w:val="none"/>
        </w:rPr>
        <w:t>计</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229.1</w:t>
      </w:r>
      <w:r>
        <w:rPr>
          <w:rFonts w:eastAsia="仿宋_GB2312"/>
          <w:sz w:val="32"/>
          <w:szCs w:val="32"/>
          <w:highlight w:val="none"/>
        </w:rPr>
        <w:t>万元，包括本年收入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万元，上年结转结余</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229.1</w:t>
      </w:r>
      <w:r>
        <w:rPr>
          <w:rFonts w:eastAsia="仿宋_GB2312"/>
          <w:sz w:val="32"/>
          <w:szCs w:val="32"/>
          <w:highlight w:val="none"/>
          <w:u w:val="single"/>
        </w:rPr>
        <w:t xml:space="preserve"> </w:t>
      </w:r>
      <w:r>
        <w:rPr>
          <w:rFonts w:eastAsia="仿宋_GB2312"/>
          <w:sz w:val="32"/>
          <w:szCs w:val="32"/>
          <w:highlight w:val="none"/>
        </w:rPr>
        <w:t>万元。其中：</w:t>
      </w:r>
    </w:p>
    <w:p w14:paraId="1DA7E006">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本年一般公共预算收入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69EE1F34">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本年政府性基金预算收入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229.1</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100</w:t>
      </w:r>
      <w:r>
        <w:rPr>
          <w:rFonts w:eastAsia="仿宋_GB2312"/>
          <w:sz w:val="32"/>
          <w:szCs w:val="32"/>
          <w:highlight w:val="none"/>
          <w:u w:val="single"/>
        </w:rPr>
        <w:t xml:space="preserve"> </w:t>
      </w:r>
      <w:r>
        <w:rPr>
          <w:rFonts w:eastAsia="仿宋_GB2312"/>
          <w:sz w:val="32"/>
          <w:szCs w:val="32"/>
          <w:highlight w:val="none"/>
        </w:rPr>
        <w:tab/>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757FE781">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本年国有资本经营预算收入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52384EC2">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本年财政专户管理资金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6F4BB071">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本年事业收入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62F3F0DC">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本年事业单位经营收入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5DA2577F">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本年上级补助收入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6300C288">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240" w:lineRule="auto"/>
        <w:ind w:firstLine="640" w:firstLineChars="200"/>
        <w:textAlignment w:val="auto"/>
        <w:rPr>
          <w:rFonts w:eastAsia="仿宋_GB2312"/>
          <w:sz w:val="32"/>
          <w:szCs w:val="32"/>
          <w:highlight w:val="none"/>
        </w:rPr>
      </w:pPr>
      <w:r>
        <w:rPr>
          <w:rFonts w:eastAsia="仿宋_GB2312"/>
          <w:sz w:val="32"/>
          <w:szCs w:val="32"/>
          <w:highlight w:val="none"/>
        </w:rPr>
        <w:t>本年附属单位上缴收入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561EE44E">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240" w:lineRule="auto"/>
        <w:ind w:firstLine="640" w:firstLineChars="200"/>
        <w:textAlignment w:val="auto"/>
        <w:rPr>
          <w:rFonts w:eastAsia="仿宋_GB2312"/>
          <w:sz w:val="32"/>
          <w:szCs w:val="32"/>
          <w:highlight w:val="none"/>
        </w:rPr>
      </w:pPr>
      <w:r>
        <w:rPr>
          <w:rFonts w:eastAsia="仿宋_GB2312"/>
          <w:sz w:val="32"/>
          <w:szCs w:val="32"/>
          <w:highlight w:val="none"/>
        </w:rPr>
        <w:t>本年其他收入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496FEB1B">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240" w:lineRule="auto"/>
        <w:ind w:firstLine="640" w:firstLineChars="200"/>
        <w:textAlignment w:val="auto"/>
        <w:rPr>
          <w:rFonts w:eastAsia="仿宋_GB2312"/>
          <w:sz w:val="32"/>
          <w:szCs w:val="32"/>
          <w:highlight w:val="none"/>
        </w:rPr>
      </w:pPr>
      <w:r>
        <w:rPr>
          <w:rFonts w:eastAsia="仿宋_GB2312"/>
          <w:sz w:val="32"/>
          <w:szCs w:val="32"/>
          <w:highlight w:val="none"/>
        </w:rPr>
        <w:t>上年结转结余的一般公共预算收入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ab/>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4F6C1457">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240" w:lineRule="auto"/>
        <w:ind w:firstLine="640" w:firstLineChars="200"/>
        <w:textAlignment w:val="auto"/>
        <w:rPr>
          <w:rFonts w:eastAsia="仿宋_GB2312"/>
          <w:sz w:val="32"/>
          <w:szCs w:val="32"/>
          <w:highlight w:val="none"/>
        </w:rPr>
      </w:pPr>
      <w:r>
        <w:rPr>
          <w:rFonts w:eastAsia="仿宋_GB2312"/>
          <w:sz w:val="32"/>
          <w:szCs w:val="32"/>
          <w:highlight w:val="none"/>
        </w:rPr>
        <w:t>上年结转结余的政府性基金预算收入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229.1</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100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26BD104B">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240" w:lineRule="auto"/>
        <w:ind w:firstLine="640" w:firstLineChars="200"/>
        <w:textAlignment w:val="auto"/>
        <w:rPr>
          <w:rFonts w:eastAsia="仿宋_GB2312"/>
          <w:sz w:val="32"/>
          <w:szCs w:val="32"/>
          <w:highlight w:val="none"/>
        </w:rPr>
      </w:pPr>
      <w:r>
        <w:rPr>
          <w:rFonts w:eastAsia="仿宋_GB2312"/>
          <w:sz w:val="32"/>
          <w:szCs w:val="32"/>
          <w:highlight w:val="none"/>
        </w:rPr>
        <w:t>上年结转结余的国有资本经营预算收入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2EF0990C">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240" w:lineRule="auto"/>
        <w:ind w:firstLine="640" w:firstLineChars="200"/>
        <w:textAlignment w:val="auto"/>
        <w:rPr>
          <w:rFonts w:eastAsia="仿宋_GB2312"/>
          <w:sz w:val="32"/>
          <w:szCs w:val="32"/>
          <w:highlight w:val="none"/>
        </w:rPr>
      </w:pPr>
      <w:r>
        <w:rPr>
          <w:rFonts w:eastAsia="仿宋_GB2312"/>
          <w:sz w:val="32"/>
          <w:szCs w:val="32"/>
          <w:highlight w:val="none"/>
        </w:rPr>
        <w:t>上年结转结余的财政专户管理资金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ab/>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6D2939C0">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240" w:lineRule="auto"/>
        <w:ind w:firstLine="640" w:firstLineChars="200"/>
        <w:textAlignment w:val="auto"/>
        <w:rPr>
          <w:rFonts w:hint="eastAsia" w:eastAsia="仿宋_GB2312"/>
          <w:sz w:val="32"/>
          <w:szCs w:val="32"/>
          <w:highlight w:val="none"/>
          <w:lang w:eastAsia="zh-CN"/>
        </w:rPr>
      </w:pPr>
      <w:r>
        <w:rPr>
          <w:rFonts w:eastAsia="仿宋_GB2312"/>
          <w:sz w:val="32"/>
          <w:szCs w:val="32"/>
          <w:highlight w:val="none"/>
        </w:rPr>
        <w:t>上年结转结余的单位资金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ab/>
      </w:r>
      <w:r>
        <w:rPr>
          <w:rFonts w:hint="eastAsia" w:ascii="仿宋_GB2312" w:hAnsi="仿宋_GB2312" w:eastAsia="仿宋_GB2312"/>
          <w:sz w:val="32"/>
          <w:szCs w:val="32"/>
          <w:highlight w:val="none"/>
          <w:lang w:eastAsia="zh-CN"/>
        </w:rPr>
        <w:t>%</w:t>
      </w:r>
      <w:r>
        <w:rPr>
          <w:rFonts w:hint="eastAsia" w:eastAsia="仿宋_GB2312"/>
          <w:sz w:val="32"/>
          <w:szCs w:val="32"/>
          <w:highlight w:val="none"/>
          <w:lang w:eastAsia="zh-CN"/>
        </w:rPr>
        <w:t>。</w:t>
      </w:r>
    </w:p>
    <w:p w14:paraId="35B5EFF4">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240" w:lineRule="auto"/>
        <w:ind w:firstLine="640" w:firstLineChars="200"/>
        <w:textAlignment w:val="auto"/>
        <w:rPr>
          <w:rFonts w:hint="eastAsia" w:eastAsia="仿宋_GB2312"/>
          <w:sz w:val="32"/>
          <w:szCs w:val="32"/>
          <w:highlight w:val="none"/>
          <w:lang w:eastAsia="zh-CN"/>
        </w:rPr>
      </w:pPr>
    </w:p>
    <w:p w14:paraId="2C57D29E">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240" w:lineRule="auto"/>
        <w:ind w:firstLine="640" w:firstLineChars="200"/>
        <w:textAlignment w:val="auto"/>
        <w:rPr>
          <w:rFonts w:hint="eastAsia" w:eastAsia="仿宋_GB2312"/>
          <w:sz w:val="32"/>
          <w:szCs w:val="32"/>
          <w:highlight w:val="none"/>
          <w:lang w:eastAsia="zh-CN"/>
        </w:rPr>
      </w:pPr>
    </w:p>
    <w:p w14:paraId="10125A0C">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240" w:lineRule="auto"/>
        <w:ind w:firstLine="640" w:firstLineChars="200"/>
        <w:textAlignment w:val="auto"/>
        <w:rPr>
          <w:rFonts w:hint="eastAsia" w:eastAsia="仿宋_GB2312"/>
          <w:sz w:val="32"/>
          <w:szCs w:val="32"/>
          <w:highlight w:val="none"/>
          <w:lang w:eastAsia="zh-CN"/>
        </w:rPr>
      </w:pPr>
      <w:r>
        <w:rPr>
          <w:rFonts w:hint="eastAsia" w:eastAsia="仿宋_GB2312"/>
          <w:sz w:val="32"/>
          <w:szCs w:val="32"/>
          <w:highlight w:val="none"/>
          <w:lang w:eastAsia="zh-CN"/>
        </w:rPr>
        <w:drawing>
          <wp:inline distT="0" distB="0" distL="114300" distR="114300">
            <wp:extent cx="5080000" cy="3810000"/>
            <wp:effectExtent l="4445" t="4445" r="20955"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B8C29BA">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240" w:lineRule="auto"/>
        <w:ind w:firstLine="640" w:firstLineChars="200"/>
        <w:textAlignment w:val="auto"/>
        <w:rPr>
          <w:rFonts w:hint="eastAsia" w:eastAsia="仿宋_GB2312"/>
          <w:sz w:val="32"/>
          <w:szCs w:val="32"/>
          <w:highlight w:val="none"/>
          <w:lang w:val="en-US" w:eastAsia="zh-CN"/>
        </w:rPr>
      </w:pPr>
      <w:r>
        <w:rPr>
          <w:rFonts w:hint="eastAsia" w:eastAsia="仿宋_GB2312"/>
          <w:sz w:val="32"/>
          <w:szCs w:val="32"/>
          <w:highlight w:val="none"/>
          <w:lang w:val="en-US" w:eastAsia="zh-CN"/>
        </w:rPr>
        <w:t xml:space="preserve">      </w:t>
      </w:r>
    </w:p>
    <w:p w14:paraId="2A58B7F5">
      <w:pPr>
        <w:pStyle w:val="4"/>
        <w:tabs>
          <w:tab w:val="left" w:pos="2671"/>
          <w:tab w:val="left" w:pos="5000"/>
          <w:tab w:val="left" w:pos="6190"/>
        </w:tabs>
        <w:spacing w:after="0" w:line="600" w:lineRule="exact"/>
        <w:ind w:firstLine="640" w:firstLineChars="200"/>
        <w:rPr>
          <w:rFonts w:hint="eastAsia" w:eastAsia="仿宋_GB2312"/>
          <w:sz w:val="32"/>
          <w:szCs w:val="32"/>
          <w:highlight w:val="none"/>
          <w:lang w:eastAsia="zh-CN"/>
        </w:rPr>
      </w:pPr>
    </w:p>
    <w:p w14:paraId="6CD88659">
      <w:pPr>
        <w:pStyle w:val="4"/>
        <w:tabs>
          <w:tab w:val="left" w:pos="2671"/>
          <w:tab w:val="left" w:pos="5000"/>
          <w:tab w:val="left" w:pos="6190"/>
        </w:tabs>
        <w:spacing w:after="0" w:line="600" w:lineRule="exact"/>
        <w:ind w:firstLine="640" w:firstLineChars="200"/>
        <w:rPr>
          <w:rFonts w:hint="eastAsia" w:eastAsia="仿宋_GB2312"/>
          <w:sz w:val="32"/>
          <w:szCs w:val="32"/>
          <w:highlight w:val="none"/>
          <w:lang w:eastAsia="zh-CN"/>
        </w:rPr>
      </w:pPr>
    </w:p>
    <w:p w14:paraId="02143422">
      <w:pPr>
        <w:pStyle w:val="4"/>
        <w:tabs>
          <w:tab w:val="left" w:pos="2671"/>
          <w:tab w:val="left" w:pos="5000"/>
          <w:tab w:val="left" w:pos="6190"/>
        </w:tabs>
        <w:spacing w:after="0" w:line="600" w:lineRule="exact"/>
        <w:ind w:firstLine="640" w:firstLineChars="200"/>
        <w:rPr>
          <w:rFonts w:hint="eastAsia" w:eastAsia="仿宋_GB2312"/>
          <w:sz w:val="32"/>
          <w:szCs w:val="32"/>
          <w:highlight w:val="none"/>
          <w:lang w:eastAsia="zh-CN"/>
        </w:rPr>
      </w:pPr>
    </w:p>
    <w:p w14:paraId="460D3159">
      <w:pPr>
        <w:pStyle w:val="4"/>
        <w:tabs>
          <w:tab w:val="left" w:pos="2671"/>
          <w:tab w:val="left" w:pos="5000"/>
          <w:tab w:val="left" w:pos="6190"/>
        </w:tabs>
        <w:spacing w:after="0" w:line="600" w:lineRule="exact"/>
        <w:ind w:firstLine="640" w:firstLineChars="200"/>
        <w:rPr>
          <w:rFonts w:hint="eastAsia" w:eastAsia="仿宋_GB2312"/>
          <w:sz w:val="32"/>
          <w:szCs w:val="32"/>
          <w:highlight w:val="none"/>
          <w:lang w:eastAsia="zh-CN"/>
        </w:rPr>
      </w:pPr>
    </w:p>
    <w:p w14:paraId="0B1289A1">
      <w:pPr>
        <w:pStyle w:val="4"/>
        <w:tabs>
          <w:tab w:val="left" w:pos="2671"/>
          <w:tab w:val="left" w:pos="5000"/>
          <w:tab w:val="left" w:pos="6190"/>
        </w:tabs>
        <w:spacing w:after="0" w:line="600" w:lineRule="exact"/>
        <w:ind w:firstLine="640" w:firstLineChars="200"/>
        <w:rPr>
          <w:rFonts w:hint="eastAsia" w:eastAsia="仿宋_GB2312"/>
          <w:sz w:val="32"/>
          <w:szCs w:val="32"/>
          <w:highlight w:val="none"/>
          <w:lang w:eastAsia="zh-CN"/>
        </w:rPr>
      </w:pPr>
    </w:p>
    <w:p w14:paraId="10757476">
      <w:pPr>
        <w:pStyle w:val="4"/>
        <w:tabs>
          <w:tab w:val="left" w:pos="2671"/>
          <w:tab w:val="left" w:pos="5000"/>
          <w:tab w:val="left" w:pos="6190"/>
        </w:tabs>
        <w:spacing w:after="0" w:line="600" w:lineRule="exact"/>
        <w:ind w:firstLine="640" w:firstLineChars="200"/>
        <w:rPr>
          <w:rFonts w:hint="eastAsia" w:eastAsia="仿宋_GB2312"/>
          <w:sz w:val="32"/>
          <w:szCs w:val="32"/>
          <w:highlight w:val="none"/>
          <w:lang w:eastAsia="zh-CN"/>
        </w:rPr>
      </w:pPr>
    </w:p>
    <w:p w14:paraId="58337B66">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三、支出预算情况说明</w:t>
      </w:r>
    </w:p>
    <w:p w14:paraId="50565798">
      <w:pPr>
        <w:pStyle w:val="4"/>
        <w:tabs>
          <w:tab w:val="left" w:pos="2671"/>
          <w:tab w:val="left" w:pos="5000"/>
          <w:tab w:val="left" w:pos="6190"/>
        </w:tabs>
        <w:spacing w:after="0" w:line="600" w:lineRule="exact"/>
        <w:ind w:firstLine="640" w:firstLineChars="200"/>
        <w:rPr>
          <w:rFonts w:ascii="Times New Roman" w:hAnsi="Times New Roman" w:eastAsia="仿宋_GB2312" w:cs="仿宋"/>
          <w:sz w:val="32"/>
          <w:szCs w:val="32"/>
          <w:highlight w:val="none"/>
        </w:rPr>
      </w:pPr>
    </w:p>
    <w:p w14:paraId="1A02090D">
      <w:pPr>
        <w:pStyle w:val="4"/>
        <w:tabs>
          <w:tab w:val="left" w:pos="2671"/>
          <w:tab w:val="left" w:pos="5000"/>
          <w:tab w:val="left" w:pos="6190"/>
        </w:tabs>
        <w:spacing w:after="0" w:line="600" w:lineRule="exact"/>
        <w:ind w:firstLine="640" w:firstLineChars="200"/>
        <w:rPr>
          <w:rFonts w:hint="eastAsia" w:eastAsia="仿宋_GB2312"/>
          <w:sz w:val="32"/>
          <w:szCs w:val="32"/>
          <w:highlight w:val="none"/>
          <w:lang w:eastAsia="zh-CN"/>
        </w:rPr>
      </w:pPr>
      <w:r>
        <w:rPr>
          <w:rFonts w:hint="eastAsia" w:ascii="仿宋_GB2312" w:hAnsi="仿宋_GB2312" w:eastAsia="仿宋_GB2312" w:cs="仿宋"/>
          <w:sz w:val="32"/>
          <w:szCs w:val="32"/>
          <w:highlight w:val="none"/>
          <w:u w:val="single"/>
          <w:lang w:val="en-US" w:eastAsia="zh-CN"/>
        </w:rPr>
        <w:t>巴彦淖尔市体育彩票销售管理中心</w:t>
      </w:r>
      <w:r>
        <w:rPr>
          <w:rFonts w:hint="eastAsia" w:ascii="仿宋_GB2312" w:hAnsi="仿宋_GB2312" w:eastAsia="仿宋_GB2312" w:cs="仿宋_GB2312"/>
          <w:sz w:val="32"/>
          <w:szCs w:val="32"/>
          <w:highlight w:val="none"/>
          <w:u w:val="single"/>
        </w:rPr>
        <w:t>单位</w:t>
      </w:r>
      <w:r>
        <w:rPr>
          <w:rFonts w:hint="eastAsia" w:ascii="仿宋_GB2312" w:hAnsi="仿宋_GB2312" w:eastAsia="仿宋_GB2312" w:cs="仿宋_GB2312"/>
          <w:sz w:val="32"/>
          <w:szCs w:val="32"/>
          <w:highlight w:val="none"/>
          <w:u w:val="single"/>
          <w:lang w:val="en-US" w:eastAsia="zh-CN"/>
        </w:rPr>
        <w:t>2026</w:t>
      </w:r>
      <w:r>
        <w:rPr>
          <w:rFonts w:hint="eastAsia" w:ascii="仿宋_GB2312" w:hAnsi="仿宋_GB2312" w:eastAsia="仿宋_GB2312" w:cs="仿宋_GB2312"/>
          <w:sz w:val="32"/>
          <w:szCs w:val="32"/>
          <w:highlight w:val="none"/>
        </w:rPr>
        <w:t>年度</w:t>
      </w:r>
      <w:r>
        <w:rPr>
          <w:rFonts w:eastAsia="仿宋_GB2312"/>
          <w:sz w:val="32"/>
          <w:szCs w:val="32"/>
          <w:highlight w:val="none"/>
        </w:rPr>
        <w:t>支出预算合计</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229.1</w:t>
      </w:r>
      <w:r>
        <w:rPr>
          <w:rFonts w:eastAsia="仿宋_GB2312"/>
          <w:sz w:val="32"/>
          <w:szCs w:val="32"/>
          <w:highlight w:val="none"/>
          <w:u w:val="single"/>
        </w:rPr>
        <w:t xml:space="preserve"> </w:t>
      </w:r>
      <w:r>
        <w:rPr>
          <w:rFonts w:eastAsia="仿宋_GB2312"/>
          <w:sz w:val="32"/>
          <w:szCs w:val="32"/>
          <w:highlight w:val="none"/>
        </w:rPr>
        <w:t>万元，其中</w:t>
      </w:r>
      <w:r>
        <w:rPr>
          <w:rFonts w:hint="eastAsia" w:eastAsia="仿宋_GB2312"/>
          <w:sz w:val="32"/>
          <w:szCs w:val="32"/>
          <w:highlight w:val="none"/>
          <w:lang w:eastAsia="zh-CN"/>
        </w:rPr>
        <w:t>：</w:t>
      </w:r>
    </w:p>
    <w:p w14:paraId="13944EF8">
      <w:pPr>
        <w:pStyle w:val="4"/>
        <w:tabs>
          <w:tab w:val="left" w:pos="2671"/>
          <w:tab w:val="left" w:pos="5000"/>
          <w:tab w:val="left" w:pos="6190"/>
        </w:tabs>
        <w:spacing w:after="0" w:line="600" w:lineRule="exact"/>
        <w:ind w:firstLine="640" w:firstLineChars="200"/>
        <w:rPr>
          <w:rFonts w:hint="eastAsia" w:eastAsia="仿宋_GB2312"/>
          <w:sz w:val="32"/>
          <w:szCs w:val="32"/>
          <w:highlight w:val="none"/>
          <w:lang w:eastAsia="zh-CN"/>
        </w:rPr>
      </w:pPr>
      <w:r>
        <w:rPr>
          <w:rFonts w:eastAsia="仿宋_GB2312"/>
          <w:sz w:val="32"/>
          <w:szCs w:val="32"/>
          <w:highlight w:val="none"/>
        </w:rPr>
        <w:t>基本支出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hint="eastAsia" w:eastAsia="仿宋_GB2312"/>
          <w:sz w:val="32"/>
          <w:szCs w:val="32"/>
          <w:highlight w:val="none"/>
          <w:lang w:eastAsia="zh-CN"/>
        </w:rPr>
        <w:t>；</w:t>
      </w:r>
    </w:p>
    <w:p w14:paraId="67DAE511">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项目支出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229.1</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100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58B7695E">
      <w:pPr>
        <w:pStyle w:val="4"/>
        <w:tabs>
          <w:tab w:val="left" w:pos="2671"/>
          <w:tab w:val="left" w:pos="5000"/>
          <w:tab w:val="left" w:pos="6190"/>
        </w:tabs>
        <w:spacing w:after="0" w:line="600" w:lineRule="exact"/>
        <w:ind w:firstLine="640" w:firstLineChars="200"/>
        <w:rPr>
          <w:rFonts w:ascii="Times New Roman" w:hAnsi="Times New Roman" w:eastAsia="仿宋_GB2312" w:cs="仿宋"/>
          <w:sz w:val="32"/>
          <w:szCs w:val="32"/>
          <w:highlight w:val="none"/>
        </w:rPr>
      </w:pPr>
      <w:r>
        <w:rPr>
          <w:rFonts w:eastAsia="仿宋_GB2312"/>
          <w:sz w:val="32"/>
          <w:szCs w:val="32"/>
          <w:highlight w:val="none"/>
        </w:rPr>
        <w:t>事业单位经营支出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1DD8FBBF">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上缴上级支出</w:t>
      </w:r>
      <w:r>
        <w:rPr>
          <w:rFonts w:eastAsia="仿宋_GB2312"/>
          <w:sz w:val="32"/>
          <w:szCs w:val="32"/>
          <w:highlight w:val="non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1A1919C5">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对附属单位补助支出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6EC8D778">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240" w:lineRule="auto"/>
        <w:ind w:firstLine="640" w:firstLineChars="200"/>
        <w:textAlignment w:val="auto"/>
        <w:rPr>
          <w:rFonts w:hint="eastAsia" w:ascii="Times New Roman" w:hAnsi="Times New Roman" w:eastAsia="仿宋_GB2312" w:cs="仿宋"/>
          <w:sz w:val="32"/>
          <w:szCs w:val="32"/>
          <w:highlight w:val="none"/>
        </w:rPr>
      </w:pPr>
    </w:p>
    <w:p w14:paraId="7ACB82D8">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240" w:lineRule="auto"/>
        <w:ind w:firstLine="640" w:firstLineChars="200"/>
        <w:textAlignment w:val="auto"/>
        <w:rPr>
          <w:rFonts w:hint="eastAsia" w:ascii="Times New Roman" w:hAnsi="Times New Roman" w:eastAsia="仿宋_GB2312" w:cs="仿宋"/>
          <w:sz w:val="32"/>
          <w:szCs w:val="32"/>
          <w:highlight w:val="none"/>
          <w:lang w:eastAsia="zh-CN"/>
        </w:rPr>
      </w:pPr>
    </w:p>
    <w:p w14:paraId="0C86D9AA">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240" w:lineRule="auto"/>
        <w:ind w:firstLine="640" w:firstLineChars="200"/>
        <w:textAlignment w:val="auto"/>
        <w:rPr>
          <w:rFonts w:hint="eastAsia" w:ascii="Times New Roman" w:hAnsi="Times New Roman" w:eastAsia="仿宋_GB2312" w:cs="仿宋"/>
          <w:sz w:val="32"/>
          <w:szCs w:val="32"/>
          <w:highlight w:val="none"/>
          <w:lang w:eastAsia="zh-CN"/>
        </w:rPr>
      </w:pPr>
    </w:p>
    <w:p w14:paraId="310F3AC1">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240" w:lineRule="auto"/>
        <w:ind w:firstLine="640" w:firstLineChars="200"/>
        <w:textAlignment w:val="auto"/>
        <w:rPr>
          <w:rFonts w:hint="eastAsia" w:ascii="Times New Roman" w:hAnsi="Times New Roman" w:eastAsia="仿宋_GB2312" w:cs="仿宋"/>
          <w:sz w:val="32"/>
          <w:szCs w:val="32"/>
          <w:highlight w:val="none"/>
          <w:lang w:eastAsia="zh-CN"/>
        </w:rPr>
      </w:pPr>
      <w:r>
        <w:rPr>
          <w:rFonts w:hint="eastAsia" w:ascii="Times New Roman" w:hAnsi="Times New Roman" w:eastAsia="仿宋_GB2312" w:cs="仿宋"/>
          <w:sz w:val="32"/>
          <w:szCs w:val="32"/>
          <w:highlight w:val="none"/>
          <w:lang w:eastAsia="zh-CN"/>
        </w:rPr>
        <w:drawing>
          <wp:inline distT="0" distB="0" distL="114300" distR="114300">
            <wp:extent cx="5080000" cy="3810000"/>
            <wp:effectExtent l="4445" t="4445" r="20955" b="146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2E48F20">
      <w:pPr>
        <w:pStyle w:val="4"/>
        <w:tabs>
          <w:tab w:val="left" w:pos="2671"/>
          <w:tab w:val="left" w:pos="5000"/>
          <w:tab w:val="left" w:pos="6190"/>
        </w:tabs>
        <w:spacing w:after="0" w:line="600" w:lineRule="exact"/>
        <w:ind w:firstLine="640" w:firstLineChars="200"/>
        <w:rPr>
          <w:rFonts w:hint="eastAsia" w:ascii="Times New Roman" w:hAnsi="Times New Roman" w:eastAsia="仿宋_GB2312" w:cs="仿宋"/>
          <w:sz w:val="32"/>
          <w:szCs w:val="32"/>
          <w:highlight w:val="none"/>
        </w:rPr>
      </w:pPr>
    </w:p>
    <w:p w14:paraId="13B1BBBA">
      <w:pPr>
        <w:pStyle w:val="4"/>
        <w:tabs>
          <w:tab w:val="left" w:pos="2671"/>
          <w:tab w:val="left" w:pos="5000"/>
          <w:tab w:val="left" w:pos="6190"/>
        </w:tabs>
        <w:spacing w:after="0" w:line="600" w:lineRule="exact"/>
        <w:ind w:firstLine="640" w:firstLineChars="200"/>
        <w:rPr>
          <w:rFonts w:hint="eastAsia" w:ascii="Times New Roman" w:hAnsi="Times New Roman" w:eastAsia="仿宋_GB2312" w:cs="仿宋"/>
          <w:sz w:val="32"/>
          <w:szCs w:val="32"/>
          <w:highlight w:val="none"/>
        </w:rPr>
      </w:pPr>
    </w:p>
    <w:p w14:paraId="742641EE">
      <w:pPr>
        <w:pStyle w:val="4"/>
        <w:tabs>
          <w:tab w:val="left" w:pos="2671"/>
          <w:tab w:val="left" w:pos="5000"/>
          <w:tab w:val="left" w:pos="6190"/>
        </w:tabs>
        <w:spacing w:after="0" w:line="600" w:lineRule="exact"/>
        <w:ind w:firstLine="640" w:firstLineChars="200"/>
        <w:rPr>
          <w:rFonts w:hint="eastAsia" w:ascii="Times New Roman" w:hAnsi="Times New Roman" w:eastAsia="仿宋_GB2312" w:cs="仿宋"/>
          <w:sz w:val="32"/>
          <w:szCs w:val="32"/>
          <w:highlight w:val="none"/>
        </w:rPr>
      </w:pPr>
    </w:p>
    <w:p w14:paraId="1BD5D9D0">
      <w:pPr>
        <w:spacing w:line="600" w:lineRule="exact"/>
        <w:ind w:left="6" w:leftChars="0" w:firstLine="633" w:firstLineChars="198"/>
        <w:outlineLvl w:val="2"/>
        <w:rPr>
          <w:rFonts w:eastAsia="黑体" w:cs="黑体"/>
          <w:sz w:val="32"/>
          <w:szCs w:val="36"/>
          <w:highlight w:val="none"/>
        </w:rPr>
      </w:pPr>
      <w:r>
        <w:rPr>
          <w:rFonts w:hint="eastAsia" w:eastAsia="黑体" w:cs="黑体"/>
          <w:sz w:val="32"/>
          <w:szCs w:val="36"/>
          <w:highlight w:val="none"/>
        </w:rPr>
        <w:t>四、财政拨款收支预算总体情况说明</w:t>
      </w:r>
    </w:p>
    <w:p w14:paraId="7C0CC70B">
      <w:pPr>
        <w:pStyle w:val="4"/>
        <w:tabs>
          <w:tab w:val="left" w:pos="1389"/>
          <w:tab w:val="left" w:pos="4911"/>
          <w:tab w:val="left" w:pos="5991"/>
        </w:tabs>
        <w:spacing w:after="0" w:line="600" w:lineRule="exact"/>
        <w:ind w:firstLine="640" w:firstLineChars="200"/>
        <w:rPr>
          <w:rFonts w:eastAsia="仿宋_GB2312"/>
          <w:sz w:val="32"/>
          <w:szCs w:val="32"/>
          <w:highlight w:val="none"/>
        </w:rPr>
      </w:pPr>
      <w:r>
        <w:rPr>
          <w:rFonts w:hint="eastAsia" w:ascii="仿宋_GB2312" w:hAnsi="仿宋_GB2312" w:eastAsia="仿宋_GB2312" w:cs="仿宋"/>
          <w:sz w:val="32"/>
          <w:szCs w:val="32"/>
          <w:highlight w:val="none"/>
          <w:u w:val="single"/>
          <w:lang w:val="en-US" w:eastAsia="zh-CN"/>
        </w:rPr>
        <w:t>巴彦淖尔市体育彩票销售管理中心</w:t>
      </w:r>
      <w:r>
        <w:rPr>
          <w:rFonts w:hint="eastAsia" w:ascii="仿宋_GB2312" w:hAnsi="仿宋_GB2312" w:eastAsia="仿宋_GB2312" w:cs="仿宋_GB2312"/>
          <w:sz w:val="32"/>
          <w:szCs w:val="32"/>
          <w:highlight w:val="none"/>
          <w:u w:val="single"/>
        </w:rPr>
        <w:t>单位</w:t>
      </w:r>
      <w:r>
        <w:rPr>
          <w:rFonts w:hint="eastAsia" w:ascii="仿宋_GB2312" w:hAnsi="仿宋_GB2312" w:eastAsia="仿宋_GB2312" w:cs="仿宋_GB2312"/>
          <w:sz w:val="32"/>
          <w:szCs w:val="32"/>
          <w:highlight w:val="none"/>
          <w:u w:val="single"/>
          <w:lang w:val="en-US" w:eastAsia="zh-CN"/>
        </w:rPr>
        <w:t>2026</w:t>
      </w:r>
      <w:r>
        <w:rPr>
          <w:rFonts w:eastAsia="仿宋_GB2312"/>
          <w:sz w:val="32"/>
          <w:szCs w:val="32"/>
          <w:highlight w:val="none"/>
        </w:rPr>
        <w:t>年度财政拨款收、支总预算</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229.1</w:t>
      </w:r>
      <w:r>
        <w:rPr>
          <w:rFonts w:eastAsia="仿宋_GB2312"/>
          <w:sz w:val="32"/>
          <w:szCs w:val="32"/>
          <w:highlight w:val="none"/>
          <w:u w:val="single"/>
        </w:rPr>
        <w:t xml:space="preserve"> </w:t>
      </w:r>
      <w:r>
        <w:rPr>
          <w:rFonts w:eastAsia="仿宋_GB2312"/>
          <w:sz w:val="32"/>
          <w:szCs w:val="32"/>
          <w:highlight w:val="none"/>
        </w:rPr>
        <w:t>万元。与上年相比，财政拨款收、支总计各</w:t>
      </w:r>
      <w:r>
        <w:rPr>
          <w:rFonts w:hint="eastAsia" w:eastAsia="仿宋_GB2312"/>
          <w:sz w:val="32"/>
          <w:szCs w:val="32"/>
          <w:highlight w:val="none"/>
          <w:lang w:eastAsia="zh-CN"/>
        </w:rPr>
        <w:t>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263.74</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lang w:eastAsia="zh-CN"/>
        </w:rPr>
        <w:t>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53.51</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w:t>
      </w:r>
      <w:r>
        <w:rPr>
          <w:rFonts w:hint="eastAsia" w:eastAsia="仿宋_GB2312"/>
          <w:sz w:val="32"/>
          <w:szCs w:val="32"/>
          <w:highlight w:val="none"/>
          <w:lang w:val="en-US" w:eastAsia="zh-CN"/>
        </w:rPr>
        <w:t>2026年提前下达盟市业务费指标下达晚未纳入年初预算</w:t>
      </w:r>
      <w:r>
        <w:rPr>
          <w:rFonts w:eastAsia="仿宋_GB2312"/>
          <w:sz w:val="32"/>
          <w:szCs w:val="32"/>
          <w:highlight w:val="none"/>
        </w:rPr>
        <w:t>。</w:t>
      </w:r>
    </w:p>
    <w:p w14:paraId="3F99D171">
      <w:pPr>
        <w:pStyle w:val="4"/>
        <w:tabs>
          <w:tab w:val="left" w:pos="1389"/>
          <w:tab w:val="left" w:pos="4911"/>
          <w:tab w:val="left" w:pos="5991"/>
        </w:tabs>
        <w:spacing w:after="0" w:line="600" w:lineRule="exact"/>
        <w:ind w:firstLine="640" w:firstLineChars="200"/>
        <w:rPr>
          <w:rFonts w:eastAsia="仿宋_GB2312"/>
          <w:sz w:val="32"/>
          <w:szCs w:val="32"/>
          <w:highlight w:val="none"/>
        </w:rPr>
      </w:pPr>
    </w:p>
    <w:p w14:paraId="67509F72">
      <w:pPr>
        <w:pStyle w:val="4"/>
        <w:tabs>
          <w:tab w:val="left" w:pos="2671"/>
          <w:tab w:val="left" w:pos="5000"/>
          <w:tab w:val="left" w:pos="6190"/>
        </w:tabs>
        <w:spacing w:after="0" w:line="600" w:lineRule="exact"/>
        <w:ind w:firstLine="640" w:firstLineChars="200"/>
        <w:rPr>
          <w:rFonts w:ascii="Times New Roman" w:hAnsi="Times New Roman" w:eastAsia="仿宋_GB2312" w:cs="仿宋"/>
          <w:sz w:val="32"/>
          <w:szCs w:val="32"/>
          <w:highlight w:val="none"/>
        </w:rPr>
      </w:pPr>
    </w:p>
    <w:p w14:paraId="2A64A63E">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五、一般公共预算支出预算情况说明</w:t>
      </w:r>
    </w:p>
    <w:p w14:paraId="566579B0">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hint="eastAsia" w:ascii="仿宋_GB2312" w:hAnsi="仿宋_GB2312" w:eastAsia="仿宋_GB2312" w:cs="仿宋"/>
          <w:sz w:val="32"/>
          <w:szCs w:val="32"/>
          <w:highlight w:val="none"/>
          <w:u w:val="single"/>
          <w:lang w:val="en-US" w:eastAsia="zh-CN"/>
        </w:rPr>
        <w:t>巴彦淖尔市体育彩票销售管理中心</w:t>
      </w:r>
      <w:r>
        <w:rPr>
          <w:rFonts w:hint="eastAsia" w:ascii="仿宋_GB2312" w:hAnsi="仿宋_GB2312" w:eastAsia="仿宋_GB2312" w:cs="仿宋_GB2312"/>
          <w:sz w:val="32"/>
          <w:szCs w:val="32"/>
          <w:highlight w:val="none"/>
          <w:u w:val="single"/>
        </w:rPr>
        <w:t>单位</w:t>
      </w:r>
      <w:r>
        <w:rPr>
          <w:rFonts w:hint="eastAsia" w:ascii="仿宋_GB2312" w:hAnsi="仿宋_GB2312" w:eastAsia="仿宋_GB2312" w:cs="仿宋_GB2312"/>
          <w:sz w:val="32"/>
          <w:szCs w:val="32"/>
          <w:highlight w:val="none"/>
          <w:u w:val="single"/>
          <w:lang w:val="en-US" w:eastAsia="zh-CN"/>
        </w:rPr>
        <w:t>2026</w:t>
      </w:r>
      <w:r>
        <w:rPr>
          <w:rFonts w:eastAsia="仿宋_GB2312"/>
          <w:sz w:val="32"/>
          <w:szCs w:val="32"/>
          <w:highlight w:val="none"/>
        </w:rPr>
        <w:t>年度一般公共预算财政拨款支出预算</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r>
        <w:rPr>
          <w:rFonts w:hint="eastAsia" w:eastAsia="仿宋_GB2312"/>
          <w:sz w:val="32"/>
          <w:szCs w:val="32"/>
          <w:highlight w:val="none"/>
        </w:rPr>
        <w:t>具体情况如下：</w:t>
      </w:r>
    </w:p>
    <w:p w14:paraId="750522F2">
      <w:pPr>
        <w:pStyle w:val="4"/>
        <w:tabs>
          <w:tab w:val="left" w:pos="4275"/>
        </w:tabs>
        <w:spacing w:after="0" w:line="600" w:lineRule="exact"/>
        <w:ind w:firstLine="643" w:firstLineChars="200"/>
        <w:rPr>
          <w:rFonts w:ascii="楷体" w:hAnsi="楷体" w:eastAsia="楷体" w:cs="楷体"/>
          <w:b/>
          <w:bCs/>
          <w:sz w:val="32"/>
          <w:szCs w:val="32"/>
          <w:highlight w:val="none"/>
        </w:rPr>
      </w:pPr>
      <w:r>
        <w:rPr>
          <w:rFonts w:hint="eastAsia" w:ascii="楷体" w:hAnsi="楷体" w:eastAsia="楷体" w:cs="楷体"/>
          <w:b/>
          <w:bCs/>
          <w:sz w:val="32"/>
          <w:szCs w:val="32"/>
          <w:highlight w:val="none"/>
        </w:rPr>
        <w:t>（一）一般公共服务（类）</w:t>
      </w:r>
    </w:p>
    <w:p w14:paraId="4EEB85DC">
      <w:pPr>
        <w:pStyle w:val="4"/>
        <w:spacing w:after="0" w:line="600" w:lineRule="exact"/>
        <w:ind w:firstLine="640" w:firstLineChars="200"/>
        <w:rPr>
          <w:rFonts w:eastAsia="仿宋_GB2312"/>
          <w:sz w:val="32"/>
          <w:szCs w:val="32"/>
          <w:highlight w:val="none"/>
        </w:rPr>
      </w:pPr>
      <w:r>
        <w:rPr>
          <w:rFonts w:hint="eastAsia" w:eastAsia="仿宋_GB2312"/>
          <w:sz w:val="32"/>
          <w:szCs w:val="32"/>
          <w:highlight w:val="none"/>
        </w:rPr>
        <w:t>一般公共服务类年初预算数为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rPr>
        <w:t>，与上年相比</w:t>
      </w:r>
      <w:r>
        <w:rPr>
          <w:rFonts w:eastAsia="仿宋_GB2312"/>
          <w:sz w:val="32"/>
          <w:szCs w:val="32"/>
          <w:highlight w:val="none"/>
        </w:rPr>
        <w:t>增加</w:t>
      </w:r>
      <w:r>
        <w:rPr>
          <w:rFonts w:hint="eastAsia" w:eastAsia="仿宋_GB2312"/>
          <w:sz w:val="32"/>
          <w:szCs w:val="32"/>
          <w:highlight w:val="none"/>
          <w:lang w:val="en-US" w:eastAsia="zh-CN"/>
        </w:rPr>
        <w:t>0</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rPr>
        <w:t>。其中：</w:t>
      </w:r>
    </w:p>
    <w:p w14:paraId="6191C03B">
      <w:pPr>
        <w:pStyle w:val="4"/>
        <w:spacing w:after="0" w:line="600" w:lineRule="exact"/>
        <w:ind w:firstLine="640" w:firstLineChars="200"/>
        <w:rPr>
          <w:rFonts w:eastAsia="仿宋_GB2312"/>
          <w:sz w:val="32"/>
          <w:szCs w:val="32"/>
          <w:highlight w:val="none"/>
        </w:rPr>
      </w:pPr>
      <w:r>
        <w:rPr>
          <w:rFonts w:eastAsia="仿宋_GB2312"/>
          <w:sz w:val="32"/>
          <w:szCs w:val="32"/>
          <w:highlight w:val="none"/>
        </w:rPr>
        <w:t>1.人大事务（款）行政运行（项）。年初预算</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。变动原因：</w:t>
      </w:r>
      <w:r>
        <w:rPr>
          <w:rFonts w:hint="eastAsia" w:eastAsia="仿宋_GB2312"/>
          <w:sz w:val="32"/>
          <w:szCs w:val="32"/>
          <w:highlight w:val="none"/>
          <w:lang w:val="en-US" w:eastAsia="zh-CN"/>
        </w:rPr>
        <w:t>不存在此内容</w:t>
      </w:r>
      <w:r>
        <w:rPr>
          <w:rFonts w:eastAsia="仿宋_GB2312"/>
          <w:sz w:val="32"/>
          <w:szCs w:val="32"/>
          <w:highlight w:val="none"/>
        </w:rPr>
        <w:t>。</w:t>
      </w:r>
    </w:p>
    <w:p w14:paraId="4CE670DF">
      <w:pPr>
        <w:pStyle w:val="4"/>
        <w:tabs>
          <w:tab w:val="left" w:pos="4275"/>
        </w:tabs>
        <w:spacing w:after="0" w:line="600" w:lineRule="exact"/>
        <w:ind w:firstLine="643" w:firstLineChars="200"/>
        <w:rPr>
          <w:rFonts w:ascii="楷体" w:hAnsi="楷体" w:eastAsia="楷体" w:cs="楷体"/>
          <w:b/>
          <w:bCs/>
          <w:sz w:val="32"/>
          <w:szCs w:val="32"/>
          <w:highlight w:val="none"/>
        </w:rPr>
      </w:pPr>
      <w:r>
        <w:rPr>
          <w:rFonts w:hint="eastAsia" w:ascii="楷体" w:hAnsi="楷体" w:eastAsia="楷体" w:cs="楷体"/>
          <w:b/>
          <w:bCs/>
          <w:sz w:val="32"/>
          <w:szCs w:val="32"/>
          <w:highlight w:val="none"/>
        </w:rPr>
        <w:t>（二）公共安全（类）</w:t>
      </w:r>
    </w:p>
    <w:p w14:paraId="76E4FDF0">
      <w:pPr>
        <w:pStyle w:val="4"/>
        <w:spacing w:after="0" w:line="600" w:lineRule="exact"/>
        <w:ind w:firstLine="640" w:firstLineChars="200"/>
        <w:rPr>
          <w:rFonts w:eastAsia="仿宋_GB2312"/>
          <w:sz w:val="32"/>
          <w:szCs w:val="32"/>
          <w:highlight w:val="none"/>
        </w:rPr>
      </w:pPr>
      <w:r>
        <w:rPr>
          <w:rFonts w:hint="eastAsia" w:eastAsia="仿宋_GB2312"/>
          <w:sz w:val="32"/>
          <w:szCs w:val="32"/>
          <w:highlight w:val="none"/>
        </w:rPr>
        <w:t>公共安全类年初预算数为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 xml:space="preserve">  0</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rPr>
        <w:t>，与上年相比</w:t>
      </w:r>
      <w:r>
        <w:rPr>
          <w:rFonts w:eastAsia="仿宋_GB2312"/>
          <w:sz w:val="32"/>
          <w:szCs w:val="32"/>
          <w:highlight w:val="none"/>
        </w:rPr>
        <w:t>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rPr>
        <w:t>。其中：</w:t>
      </w:r>
    </w:p>
    <w:p w14:paraId="5CBA5D46">
      <w:pPr>
        <w:pStyle w:val="4"/>
        <w:spacing w:after="0" w:line="600" w:lineRule="exact"/>
        <w:ind w:firstLine="640" w:firstLineChars="200"/>
        <w:rPr>
          <w:rFonts w:eastAsia="仿宋_GB2312"/>
          <w:sz w:val="32"/>
          <w:szCs w:val="32"/>
          <w:highlight w:val="none"/>
        </w:rPr>
      </w:pPr>
      <w:r>
        <w:rPr>
          <w:rFonts w:eastAsia="仿宋_GB2312"/>
          <w:sz w:val="32"/>
          <w:szCs w:val="32"/>
          <w:highlight w:val="none"/>
        </w:rPr>
        <w:t>1．公安（款）行政运行（项）。年初预算</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。变动原因：</w:t>
      </w:r>
      <w:r>
        <w:rPr>
          <w:rFonts w:hint="eastAsia" w:eastAsia="仿宋_GB2312"/>
          <w:sz w:val="32"/>
          <w:szCs w:val="32"/>
          <w:highlight w:val="none"/>
          <w:lang w:val="en-US" w:eastAsia="zh-CN"/>
        </w:rPr>
        <w:t>不存在此内容</w:t>
      </w:r>
      <w:r>
        <w:rPr>
          <w:rFonts w:eastAsia="仿宋_GB2312"/>
          <w:sz w:val="32"/>
          <w:szCs w:val="32"/>
          <w:highlight w:val="none"/>
        </w:rPr>
        <w:t>。</w:t>
      </w:r>
    </w:p>
    <w:p w14:paraId="618EA326">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六、一般公共预算基本支出预算情况说明</w:t>
      </w:r>
    </w:p>
    <w:p w14:paraId="4CF73E03">
      <w:pPr>
        <w:pStyle w:val="4"/>
        <w:tabs>
          <w:tab w:val="left" w:pos="2671"/>
          <w:tab w:val="left" w:pos="5000"/>
          <w:tab w:val="left" w:pos="6190"/>
        </w:tabs>
        <w:spacing w:after="0" w:line="600" w:lineRule="exact"/>
        <w:ind w:firstLine="640" w:firstLineChars="200"/>
        <w:rPr>
          <w:rFonts w:hint="eastAsia" w:ascii="Times New Roman" w:hAnsi="Times New Roman" w:eastAsia="仿宋_GB2312" w:cs="仿宋"/>
          <w:sz w:val="32"/>
          <w:szCs w:val="32"/>
          <w:highlight w:val="none"/>
        </w:rPr>
      </w:pPr>
      <w:r>
        <w:rPr>
          <w:rFonts w:hint="eastAsia" w:ascii="仿宋_GB2312" w:hAnsi="仿宋_GB2312" w:eastAsia="仿宋_GB2312" w:cs="仿宋"/>
          <w:sz w:val="32"/>
          <w:szCs w:val="32"/>
          <w:highlight w:val="none"/>
          <w:u w:val="single"/>
          <w:lang w:val="en-US" w:eastAsia="zh-CN"/>
        </w:rPr>
        <w:t>巴彦淖尔市体育彩票销售管理中心心</w:t>
      </w:r>
      <w:r>
        <w:rPr>
          <w:rFonts w:hint="eastAsia" w:ascii="Times New Roman" w:hAnsi="Times New Roman" w:eastAsia="仿宋_GB2312" w:cs="仿宋"/>
          <w:sz w:val="32"/>
          <w:szCs w:val="32"/>
          <w:highlight w:val="none"/>
          <w:u w:val="single"/>
        </w:rPr>
        <w:t>单位</w:t>
      </w:r>
      <w:r>
        <w:rPr>
          <w:rFonts w:hint="eastAsia" w:eastAsia="仿宋_GB2312" w:cs="仿宋"/>
          <w:sz w:val="32"/>
          <w:szCs w:val="32"/>
          <w:highlight w:val="none"/>
          <w:u w:val="single"/>
          <w:lang w:val="en-US" w:eastAsia="zh-CN"/>
        </w:rPr>
        <w:t>2026</w:t>
      </w:r>
      <w:r>
        <w:rPr>
          <w:rFonts w:hint="eastAsia" w:ascii="Times New Roman" w:hAnsi="Times New Roman" w:eastAsia="仿宋_GB2312" w:cs="仿宋"/>
          <w:sz w:val="32"/>
          <w:szCs w:val="32"/>
          <w:highlight w:val="none"/>
        </w:rPr>
        <w:t>年度一般公共预算财政拨款基本支出预算</w:t>
      </w:r>
      <w:r>
        <w:rPr>
          <w:rFonts w:hint="eastAsia" w:ascii="Times New Roman" w:hAnsi="Times New Roman" w:eastAsia="仿宋_GB2312" w:cs="仿宋"/>
          <w:sz w:val="32"/>
          <w:szCs w:val="32"/>
          <w:highlight w:val="none"/>
          <w:u w:val="single"/>
        </w:rPr>
        <w:t xml:space="preserve"> </w:t>
      </w:r>
      <w:r>
        <w:rPr>
          <w:rFonts w:hint="eastAsia" w:eastAsia="仿宋_GB2312" w:cs="仿宋"/>
          <w:sz w:val="32"/>
          <w:szCs w:val="32"/>
          <w:highlight w:val="none"/>
          <w:u w:val="single"/>
          <w:lang w:val="en-US" w:eastAsia="zh-CN"/>
        </w:rPr>
        <w:t>0</w:t>
      </w:r>
      <w:r>
        <w:rPr>
          <w:rFonts w:hint="eastAsia" w:ascii="Times New Roman" w:hAnsi="Times New Roman" w:eastAsia="仿宋_GB2312" w:cs="仿宋"/>
          <w:sz w:val="32"/>
          <w:szCs w:val="32"/>
          <w:highlight w:val="none"/>
          <w:u w:val="single"/>
        </w:rPr>
        <w:t xml:space="preserve">   </w:t>
      </w:r>
      <w:r>
        <w:rPr>
          <w:rFonts w:hint="eastAsia" w:ascii="Times New Roman" w:hAnsi="Times New Roman" w:eastAsia="仿宋_GB2312" w:cs="仿宋"/>
          <w:sz w:val="32"/>
          <w:szCs w:val="32"/>
          <w:highlight w:val="none"/>
        </w:rPr>
        <w:t>万元，其中：</w:t>
      </w:r>
    </w:p>
    <w:p w14:paraId="68D85DBE">
      <w:pPr>
        <w:pStyle w:val="4"/>
        <w:tabs>
          <w:tab w:val="left" w:pos="2671"/>
          <w:tab w:val="left" w:pos="5000"/>
          <w:tab w:val="left" w:pos="6190"/>
        </w:tabs>
        <w:spacing w:after="0" w:line="600" w:lineRule="exact"/>
        <w:ind w:firstLine="643" w:firstLineChars="200"/>
        <w:rPr>
          <w:rFonts w:hint="eastAsia" w:ascii="Times New Roman" w:hAnsi="Times New Roman" w:eastAsia="仿宋_GB2312" w:cs="仿宋"/>
          <w:sz w:val="32"/>
          <w:szCs w:val="32"/>
          <w:highlight w:val="none"/>
        </w:rPr>
      </w:pPr>
      <w:r>
        <w:rPr>
          <w:rFonts w:hint="eastAsia" w:ascii="Times New Roman" w:hAnsi="Times New Roman" w:eastAsia="仿宋_GB2312" w:cs="仿宋"/>
          <w:b/>
          <w:bCs/>
          <w:sz w:val="32"/>
          <w:szCs w:val="32"/>
          <w:highlight w:val="none"/>
        </w:rPr>
        <w:t>（一）人员经费</w:t>
      </w:r>
      <w:r>
        <w:rPr>
          <w:rFonts w:hint="eastAsia" w:ascii="Times New Roman" w:hAnsi="Times New Roman" w:eastAsia="仿宋_GB2312" w:cs="仿宋"/>
          <w:b/>
          <w:bCs/>
          <w:sz w:val="32"/>
          <w:szCs w:val="32"/>
          <w:highlight w:val="none"/>
          <w:u w:val="single"/>
        </w:rPr>
        <w:t xml:space="preserve">   </w:t>
      </w:r>
      <w:r>
        <w:rPr>
          <w:rFonts w:hint="eastAsia" w:eastAsia="仿宋_GB2312" w:cs="仿宋"/>
          <w:b/>
          <w:bCs/>
          <w:sz w:val="32"/>
          <w:szCs w:val="32"/>
          <w:highlight w:val="none"/>
          <w:u w:val="single"/>
          <w:lang w:val="en-US" w:eastAsia="zh-CN"/>
        </w:rPr>
        <w:t>0</w:t>
      </w:r>
      <w:r>
        <w:rPr>
          <w:rFonts w:hint="eastAsia" w:ascii="Times New Roman" w:hAnsi="Times New Roman" w:eastAsia="仿宋_GB2312" w:cs="仿宋"/>
          <w:b/>
          <w:bCs/>
          <w:sz w:val="32"/>
          <w:szCs w:val="32"/>
          <w:highlight w:val="none"/>
          <w:u w:val="single"/>
        </w:rPr>
        <w:t xml:space="preserve">  </w:t>
      </w:r>
      <w:r>
        <w:rPr>
          <w:rFonts w:hint="eastAsia" w:ascii="Times New Roman" w:hAnsi="Times New Roman" w:eastAsia="仿宋_GB2312" w:cs="仿宋"/>
          <w:b/>
          <w:bCs/>
          <w:sz w:val="32"/>
          <w:szCs w:val="32"/>
          <w:highlight w:val="none"/>
        </w:rPr>
        <w:t>万元</w:t>
      </w:r>
      <w:r>
        <w:rPr>
          <w:rFonts w:hint="eastAsia" w:ascii="Times New Roman" w:hAnsi="Times New Roman" w:eastAsia="仿宋_GB2312" w:cs="仿宋"/>
          <w:sz w:val="32"/>
          <w:szCs w:val="32"/>
          <w:highlight w:val="none"/>
        </w:rPr>
        <w:t>。主要包括：基本工资、津贴补贴、奖金、伙食补助费、绩效工资、住房公积金、医疗费、其他工资福利支出、离休费、退休费、抚恤金、奖励金、其他对个人和家庭的补助等。</w:t>
      </w:r>
    </w:p>
    <w:p w14:paraId="23467BB9">
      <w:pPr>
        <w:pStyle w:val="4"/>
        <w:tabs>
          <w:tab w:val="left" w:pos="2671"/>
          <w:tab w:val="left" w:pos="5000"/>
          <w:tab w:val="left" w:pos="6190"/>
        </w:tabs>
        <w:spacing w:after="0" w:line="600" w:lineRule="exact"/>
        <w:ind w:firstLine="643" w:firstLineChars="200"/>
        <w:rPr>
          <w:rFonts w:hint="eastAsia" w:ascii="Times New Roman" w:hAnsi="Times New Roman" w:eastAsia="仿宋_GB2312" w:cs="仿宋"/>
          <w:sz w:val="32"/>
          <w:szCs w:val="32"/>
          <w:highlight w:val="none"/>
        </w:rPr>
      </w:pPr>
      <w:r>
        <w:rPr>
          <w:rFonts w:hint="eastAsia" w:ascii="Times New Roman" w:hAnsi="Times New Roman" w:eastAsia="仿宋_GB2312" w:cs="仿宋"/>
          <w:b/>
          <w:bCs/>
          <w:sz w:val="32"/>
          <w:szCs w:val="32"/>
          <w:highlight w:val="none"/>
        </w:rPr>
        <w:t>（二）公用经费</w:t>
      </w:r>
      <w:r>
        <w:rPr>
          <w:rFonts w:hint="eastAsia" w:ascii="Times New Roman" w:hAnsi="Times New Roman" w:eastAsia="仿宋_GB2312" w:cs="仿宋"/>
          <w:b/>
          <w:bCs/>
          <w:sz w:val="32"/>
          <w:szCs w:val="32"/>
          <w:highlight w:val="none"/>
          <w:u w:val="single"/>
        </w:rPr>
        <w:t xml:space="preserve">   </w:t>
      </w:r>
      <w:r>
        <w:rPr>
          <w:rFonts w:hint="eastAsia" w:eastAsia="仿宋_GB2312" w:cs="仿宋"/>
          <w:b/>
          <w:bCs/>
          <w:sz w:val="32"/>
          <w:szCs w:val="32"/>
          <w:highlight w:val="none"/>
          <w:u w:val="single"/>
          <w:lang w:val="en-US" w:eastAsia="zh-CN"/>
        </w:rPr>
        <w:t>0</w:t>
      </w:r>
      <w:r>
        <w:rPr>
          <w:rFonts w:hint="eastAsia" w:ascii="Times New Roman" w:hAnsi="Times New Roman" w:eastAsia="仿宋_GB2312" w:cs="仿宋"/>
          <w:b/>
          <w:bCs/>
          <w:sz w:val="32"/>
          <w:szCs w:val="32"/>
          <w:highlight w:val="none"/>
          <w:u w:val="single"/>
        </w:rPr>
        <w:t xml:space="preserve">  </w:t>
      </w:r>
      <w:r>
        <w:rPr>
          <w:rFonts w:hint="eastAsia" w:ascii="Times New Roman" w:hAnsi="Times New Roman" w:eastAsia="仿宋_GB2312" w:cs="仿宋"/>
          <w:b/>
          <w:bCs/>
          <w:sz w:val="32"/>
          <w:szCs w:val="32"/>
          <w:highlight w:val="none"/>
        </w:rPr>
        <w:t>万元</w:t>
      </w:r>
      <w:r>
        <w:rPr>
          <w:rFonts w:hint="eastAsia" w:ascii="Times New Roman" w:hAnsi="Times New Roman" w:eastAsia="仿宋_GB2312" w:cs="仿宋"/>
          <w:sz w:val="32"/>
          <w:szCs w:val="32"/>
          <w:highlight w:val="none"/>
        </w:rPr>
        <w:t>。主要包括：办公费、印刷费、咨询费、手续费、水费、电费、邮电费、取暖费、物业管理费、差旅费、维修（护）费、租赁费、会议费、培训费、公务接待费、专用材料费、劳务费、委托业务费、工会经费、福利费、公务用车运行维护费、其他交通费用、其他商品和服务支出、办公设备购置、专用设备购置、信息网络及软件购置更新、其他资本性支出等。</w:t>
      </w:r>
    </w:p>
    <w:p w14:paraId="72F1D3D0">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七、一般公共预算“三公”经费支出预算情况说明</w:t>
      </w:r>
    </w:p>
    <w:p w14:paraId="16DAA44E">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hint="eastAsia" w:ascii="仿宋_GB2312" w:hAnsi="仿宋_GB2312" w:eastAsia="仿宋_GB2312" w:cs="仿宋"/>
          <w:sz w:val="32"/>
          <w:szCs w:val="32"/>
          <w:highlight w:val="none"/>
          <w:u w:val="single"/>
          <w:lang w:val="en-US" w:eastAsia="zh-CN"/>
        </w:rPr>
        <w:t>巴彦淖尔市体育彩票销售管理中心</w:t>
      </w:r>
      <w:r>
        <w:rPr>
          <w:rFonts w:hint="eastAsia" w:ascii="仿宋_GB2312" w:hAnsi="仿宋_GB2312" w:eastAsia="仿宋_GB2312" w:cs="仿宋_GB2312"/>
          <w:sz w:val="32"/>
          <w:szCs w:val="32"/>
          <w:highlight w:val="none"/>
          <w:u w:val="single"/>
        </w:rPr>
        <w:t>单位</w:t>
      </w:r>
      <w:r>
        <w:rPr>
          <w:rFonts w:hint="eastAsia" w:ascii="仿宋_GB2312" w:hAnsi="仿宋_GB2312" w:eastAsia="仿宋_GB2312" w:cs="仿宋_GB2312"/>
          <w:sz w:val="32"/>
          <w:szCs w:val="32"/>
          <w:highlight w:val="none"/>
          <w:u w:val="single"/>
          <w:lang w:val="en-US" w:eastAsia="zh-CN"/>
        </w:rPr>
        <w:t>2025</w:t>
      </w:r>
      <w:r>
        <w:rPr>
          <w:rFonts w:eastAsia="仿宋_GB2312"/>
          <w:sz w:val="32"/>
          <w:szCs w:val="32"/>
          <w:highlight w:val="none"/>
        </w:rPr>
        <w:t>年度一般公共预算拨款安排的“三公”经费预算支出</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rPr>
        <w:t>万元，其中因公出国（境）费支出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hint="eastAsia"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hint="eastAsia" w:eastAsia="仿宋_GB2312"/>
          <w:sz w:val="32"/>
          <w:szCs w:val="32"/>
          <w:highlight w:val="none"/>
          <w:u w:val="single"/>
        </w:rPr>
        <w:t xml:space="preserve"> </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；公务用车购置及运行维护费支出</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；公务接待费支出</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0.1</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1.74</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。具体情况如下：</w:t>
      </w:r>
    </w:p>
    <w:p w14:paraId="4A611A1F">
      <w:pPr>
        <w:spacing w:line="600" w:lineRule="exact"/>
        <w:ind w:left="29" w:right="96" w:firstLine="650"/>
        <w:rPr>
          <w:rFonts w:eastAsia="仿宋_GB2312"/>
          <w:sz w:val="32"/>
          <w:szCs w:val="32"/>
          <w:highlight w:val="none"/>
        </w:rPr>
      </w:pPr>
      <w:r>
        <w:rPr>
          <w:rFonts w:eastAsia="仿宋_GB2312"/>
          <w:sz w:val="32"/>
          <w:szCs w:val="32"/>
          <w:highlight w:val="none"/>
        </w:rPr>
        <w:t>一般公共预算拨款安排的“三公”经费预算支出</w:t>
      </w:r>
      <w:r>
        <w:rPr>
          <w:rFonts w:eastAsia="仿宋_GB2312"/>
          <w:sz w:val="32"/>
          <w:szCs w:val="32"/>
          <w:highlight w:val="none"/>
          <w:u w:val="single"/>
        </w:rPr>
        <w:tab/>
      </w:r>
      <w:r>
        <w:rPr>
          <w:rFonts w:hint="eastAsia" w:eastAsia="仿宋_GB2312"/>
          <w:sz w:val="32"/>
          <w:szCs w:val="32"/>
          <w:highlight w:val="none"/>
          <w:u w:val="single"/>
          <w:lang w:val="en-US" w:eastAsia="zh-CN"/>
        </w:rPr>
        <w:t>5.75</w:t>
      </w:r>
      <w:r>
        <w:rPr>
          <w:rFonts w:eastAsia="仿宋_GB2312"/>
          <w:sz w:val="32"/>
          <w:szCs w:val="32"/>
          <w:highlight w:val="none"/>
          <w:u w:val="single"/>
        </w:rPr>
        <w:t xml:space="preserve"> </w:t>
      </w:r>
      <w:r>
        <w:rPr>
          <w:rFonts w:eastAsia="仿宋_GB2312"/>
          <w:spacing w:val="-55"/>
          <w:sz w:val="32"/>
          <w:szCs w:val="32"/>
          <w:highlight w:val="none"/>
        </w:rPr>
        <w:t xml:space="preserve"> </w:t>
      </w:r>
      <w:r>
        <w:rPr>
          <w:rFonts w:eastAsia="仿宋_GB2312"/>
          <w:spacing w:val="-4"/>
          <w:sz w:val="32"/>
          <w:szCs w:val="32"/>
          <w:highlight w:val="none"/>
        </w:rPr>
        <w:t>万元，比上年预</w:t>
      </w:r>
      <w:r>
        <w:rPr>
          <w:rFonts w:eastAsia="仿宋_GB2312"/>
          <w:spacing w:val="-6"/>
          <w:sz w:val="32"/>
          <w:szCs w:val="32"/>
          <w:highlight w:val="none"/>
        </w:rPr>
        <w:t>算增加</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pacing w:val="-6"/>
          <w:sz w:val="32"/>
          <w:szCs w:val="32"/>
          <w:highlight w:val="none"/>
        </w:rPr>
        <w:t>万元，</w:t>
      </w:r>
      <w:r>
        <w:rPr>
          <w:rFonts w:eastAsia="仿宋_GB2312"/>
          <w:sz w:val="32"/>
          <w:szCs w:val="32"/>
          <w:highlight w:val="none"/>
        </w:rPr>
        <w:t>增长</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ab/>
      </w:r>
      <w:r>
        <w:rPr>
          <w:rFonts w:hint="eastAsia" w:ascii="仿宋_GB2312" w:hAnsi="仿宋_GB2312" w:eastAsia="仿宋_GB2312"/>
          <w:sz w:val="32"/>
          <w:szCs w:val="32"/>
          <w:highlight w:val="none"/>
          <w:lang w:eastAsia="zh-CN"/>
        </w:rPr>
        <w:t>%</w:t>
      </w:r>
      <w:r>
        <w:rPr>
          <w:rFonts w:eastAsia="仿宋_GB2312"/>
          <w:spacing w:val="-6"/>
          <w:sz w:val="32"/>
          <w:szCs w:val="32"/>
          <w:highlight w:val="none"/>
        </w:rPr>
        <w:t>；</w:t>
      </w:r>
      <w:r>
        <w:rPr>
          <w:rFonts w:eastAsia="仿宋_GB2312"/>
          <w:spacing w:val="-4"/>
          <w:sz w:val="32"/>
          <w:szCs w:val="32"/>
          <w:highlight w:val="none"/>
        </w:rPr>
        <w:t>其中：</w:t>
      </w:r>
    </w:p>
    <w:p w14:paraId="1A6221B2">
      <w:pPr>
        <w:pStyle w:val="4"/>
        <w:spacing w:after="0" w:line="600" w:lineRule="exact"/>
        <w:ind w:left="17" w:leftChars="8" w:firstLine="640" w:firstLineChars="200"/>
        <w:rPr>
          <w:rFonts w:eastAsia="仿宋_GB2312"/>
          <w:sz w:val="32"/>
          <w:szCs w:val="32"/>
          <w:highlight w:val="none"/>
        </w:rPr>
      </w:pPr>
      <w:r>
        <w:rPr>
          <w:rFonts w:eastAsia="仿宋_GB2312"/>
          <w:sz w:val="32"/>
          <w:szCs w:val="32"/>
          <w:highlight w:val="none"/>
        </w:rPr>
        <w:t>1．因公出国（境）费预算支出</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万元，比上年预算增加</w:t>
      </w:r>
      <w:r>
        <w:rPr>
          <w:rFonts w:hint="eastAsia" w:eastAsia="仿宋_GB2312"/>
          <w:sz w:val="32"/>
          <w:szCs w:val="32"/>
          <w:highlight w:val="none"/>
          <w:lang w:val="en-US" w:eastAsia="zh-CN"/>
        </w:rPr>
        <w:t>0</w:t>
      </w:r>
      <w:r>
        <w:rPr>
          <w:rFonts w:eastAsia="仿宋_GB2312"/>
          <w:sz w:val="32"/>
          <w:szCs w:val="32"/>
          <w:highlight w:val="none"/>
          <w:u w:val="single"/>
        </w:rPr>
        <w:t xml:space="preserve">     </w:t>
      </w:r>
      <w:r>
        <w:rPr>
          <w:rFonts w:eastAsia="仿宋_GB2312"/>
          <w:sz w:val="32"/>
          <w:szCs w:val="32"/>
          <w:highlight w:val="none"/>
        </w:rPr>
        <w:t>万元，主要原因</w:t>
      </w:r>
      <w:r>
        <w:rPr>
          <w:rFonts w:hint="eastAsia" w:eastAsia="仿宋_GB2312"/>
          <w:sz w:val="32"/>
          <w:szCs w:val="32"/>
          <w:highlight w:val="none"/>
          <w:lang w:val="en-US" w:eastAsia="zh-CN"/>
        </w:rPr>
        <w:t>不存在此内容</w:t>
      </w:r>
      <w:r>
        <w:rPr>
          <w:rFonts w:eastAsia="仿宋_GB2312"/>
          <w:sz w:val="32"/>
          <w:szCs w:val="32"/>
          <w:highlight w:val="none"/>
        </w:rPr>
        <w:t>。</w:t>
      </w:r>
    </w:p>
    <w:p w14:paraId="31D2343B">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2．公务用车购置及运行维护费预算支出</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ab/>
      </w:r>
      <w:r>
        <w:rPr>
          <w:rFonts w:eastAsia="仿宋_GB2312"/>
          <w:sz w:val="32"/>
          <w:szCs w:val="32"/>
          <w:highlight w:val="none"/>
        </w:rPr>
        <w:t>万元。其中：</w:t>
      </w:r>
    </w:p>
    <w:p w14:paraId="10DC401A">
      <w:pPr>
        <w:pStyle w:val="4"/>
        <w:spacing w:after="0" w:line="600" w:lineRule="exact"/>
        <w:ind w:firstLine="640" w:firstLineChars="200"/>
        <w:rPr>
          <w:rFonts w:eastAsia="仿宋_GB2312"/>
          <w:sz w:val="32"/>
          <w:szCs w:val="32"/>
          <w:highlight w:val="none"/>
        </w:rPr>
      </w:pPr>
      <w:r>
        <w:rPr>
          <w:rFonts w:eastAsia="仿宋_GB2312"/>
          <w:sz w:val="32"/>
          <w:szCs w:val="32"/>
          <w:highlight w:val="none"/>
        </w:rPr>
        <w:t>（1）公务用车购置预算支出</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万元，比上年预算增加</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万元，主要原因</w:t>
      </w:r>
      <w:r>
        <w:rPr>
          <w:rFonts w:hint="eastAsia" w:eastAsia="仿宋_GB2312"/>
          <w:sz w:val="32"/>
          <w:szCs w:val="32"/>
          <w:highlight w:val="none"/>
          <w:lang w:val="en-US" w:eastAsia="zh-CN"/>
        </w:rPr>
        <w:t>不存在此内容</w:t>
      </w:r>
      <w:r>
        <w:rPr>
          <w:rFonts w:eastAsia="仿宋_GB2312"/>
          <w:sz w:val="32"/>
          <w:szCs w:val="32"/>
          <w:highlight w:val="none"/>
        </w:rPr>
        <w:t>。</w:t>
      </w:r>
    </w:p>
    <w:p w14:paraId="54D91D30">
      <w:pPr>
        <w:pStyle w:val="4"/>
        <w:spacing w:after="0" w:line="600" w:lineRule="exact"/>
        <w:ind w:firstLine="640" w:firstLineChars="200"/>
        <w:rPr>
          <w:rFonts w:hint="eastAsia" w:eastAsia="仿宋_GB2312"/>
          <w:sz w:val="32"/>
          <w:szCs w:val="32"/>
          <w:highlight w:val="none"/>
          <w:lang w:eastAsia="zh-CN"/>
        </w:rPr>
      </w:pPr>
      <w:r>
        <w:rPr>
          <w:rFonts w:eastAsia="仿宋_GB2312"/>
          <w:sz w:val="32"/>
          <w:szCs w:val="32"/>
          <w:highlight w:val="none"/>
        </w:rPr>
        <w:t>（2）公务用车运行维护费预算支出</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rPr>
        <w:t>万元，比上年预算增加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 xml:space="preserve"> 万元</w:t>
      </w:r>
      <w:r>
        <w:rPr>
          <w:rFonts w:hint="eastAsia" w:eastAsia="仿宋_GB2312"/>
          <w:sz w:val="32"/>
          <w:szCs w:val="32"/>
          <w:highlight w:val="none"/>
          <w:lang w:eastAsia="zh-CN"/>
        </w:rPr>
        <w:t>。</w:t>
      </w:r>
    </w:p>
    <w:p w14:paraId="4CACD1CA">
      <w:pPr>
        <w:pStyle w:val="4"/>
        <w:spacing w:after="0" w:line="600" w:lineRule="exact"/>
        <w:ind w:firstLine="640" w:firstLineChars="200"/>
        <w:rPr>
          <w:rFonts w:hint="eastAsia" w:eastAsia="仿宋_GB2312"/>
          <w:sz w:val="32"/>
          <w:szCs w:val="32"/>
          <w:highlight w:val="none"/>
          <w:lang w:eastAsia="zh-CN"/>
        </w:rPr>
      </w:pPr>
      <w:r>
        <w:rPr>
          <w:rFonts w:eastAsia="仿宋_GB2312"/>
          <w:sz w:val="32"/>
          <w:szCs w:val="32"/>
          <w:highlight w:val="none"/>
        </w:rPr>
        <w:t>3．公务接待费预算支出</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万元，比上年预算增加</w:t>
      </w:r>
      <w:r>
        <w:rPr>
          <w:rFonts w:hint="eastAsia" w:eastAsia="仿宋_GB2312"/>
          <w:sz w:val="32"/>
          <w:szCs w:val="32"/>
          <w:highlight w:val="none"/>
          <w:lang w:val="en-US" w:eastAsia="zh-CN"/>
        </w:rPr>
        <w:t>0</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lang w:eastAsia="zh-CN"/>
        </w:rPr>
        <w:t>。</w:t>
      </w:r>
    </w:p>
    <w:p w14:paraId="4EEFB9CD">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八、政府性基金预算支出预算情况说明</w:t>
      </w:r>
    </w:p>
    <w:p w14:paraId="4D82B478">
      <w:pPr>
        <w:pStyle w:val="4"/>
        <w:tabs>
          <w:tab w:val="left" w:pos="1389"/>
          <w:tab w:val="left" w:pos="4911"/>
          <w:tab w:val="left" w:pos="5991"/>
        </w:tabs>
        <w:spacing w:after="0" w:line="600" w:lineRule="exact"/>
        <w:ind w:firstLine="640" w:firstLineChars="200"/>
        <w:rPr>
          <w:rFonts w:eastAsia="仿宋_GB2312"/>
          <w:sz w:val="32"/>
          <w:szCs w:val="32"/>
          <w:highlight w:val="none"/>
        </w:rPr>
      </w:pPr>
      <w:r>
        <w:rPr>
          <w:rFonts w:hint="eastAsia" w:ascii="仿宋_GB2312" w:hAnsi="仿宋_GB2312" w:eastAsia="仿宋_GB2312" w:cs="仿宋"/>
          <w:sz w:val="32"/>
          <w:szCs w:val="32"/>
          <w:highlight w:val="none"/>
          <w:u w:val="single"/>
          <w:lang w:val="en-US" w:eastAsia="zh-CN"/>
        </w:rPr>
        <w:t>巴彦淖尔市体育彩票销售管理中心</w:t>
      </w:r>
      <w:r>
        <w:rPr>
          <w:rFonts w:hint="eastAsia" w:ascii="仿宋_GB2312" w:hAnsi="仿宋_GB2312" w:eastAsia="仿宋_GB2312" w:cs="仿宋_GB2312"/>
          <w:sz w:val="32"/>
          <w:szCs w:val="32"/>
          <w:highlight w:val="none"/>
          <w:u w:val="single"/>
        </w:rPr>
        <w:t>单位</w:t>
      </w:r>
      <w:r>
        <w:rPr>
          <w:rFonts w:hint="eastAsia" w:ascii="仿宋_GB2312" w:hAnsi="仿宋_GB2312" w:eastAsia="仿宋_GB2312" w:cs="仿宋_GB2312"/>
          <w:sz w:val="32"/>
          <w:szCs w:val="32"/>
          <w:highlight w:val="none"/>
          <w:u w:val="single"/>
          <w:lang w:val="en-US" w:eastAsia="zh-CN"/>
        </w:rPr>
        <w:t>2026</w:t>
      </w:r>
      <w:r>
        <w:rPr>
          <w:rFonts w:eastAsia="仿宋_GB2312"/>
          <w:sz w:val="32"/>
          <w:szCs w:val="32"/>
          <w:highlight w:val="none"/>
        </w:rPr>
        <w:t>年度政府性基金支出预算支</w:t>
      </w:r>
      <w:r>
        <w:rPr>
          <w:rFonts w:hint="eastAsia" w:eastAsia="仿宋_GB2312"/>
          <w:sz w:val="32"/>
          <w:szCs w:val="32"/>
          <w:highlight w:val="none"/>
          <w:lang w:eastAsia="zh-CN"/>
        </w:rPr>
        <w:t>出</w:t>
      </w:r>
      <w:r>
        <w:rPr>
          <w:rFonts w:hint="eastAsia" w:eastAsia="仿宋_GB2312"/>
          <w:sz w:val="32"/>
          <w:szCs w:val="32"/>
          <w:highlight w:val="none"/>
          <w:u w:val="single"/>
          <w:lang w:val="en-US" w:eastAsia="zh-CN"/>
        </w:rPr>
        <w:t>229.1</w:t>
      </w:r>
      <w:r>
        <w:rPr>
          <w:rFonts w:eastAsia="仿宋_GB2312"/>
          <w:sz w:val="32"/>
          <w:szCs w:val="32"/>
          <w:highlight w:val="none"/>
          <w:u w:val="single"/>
        </w:rPr>
        <w:t xml:space="preserve"> </w:t>
      </w:r>
      <w:r>
        <w:rPr>
          <w:rFonts w:eastAsia="仿宋_GB2312"/>
          <w:sz w:val="32"/>
          <w:szCs w:val="32"/>
          <w:highlight w:val="none"/>
        </w:rPr>
        <w:t>万元。与上年相比</w:t>
      </w:r>
      <w:r>
        <w:rPr>
          <w:rFonts w:hint="eastAsia" w:eastAsia="仿宋_GB2312"/>
          <w:sz w:val="32"/>
          <w:szCs w:val="32"/>
          <w:highlight w:val="none"/>
          <w:lang w:eastAsia="zh-CN"/>
        </w:rPr>
        <w:t>减少</w:t>
      </w:r>
      <w:r>
        <w:rPr>
          <w:rFonts w:eastAsia="仿宋_GB2312"/>
          <w:sz w:val="32"/>
          <w:szCs w:val="32"/>
          <w:highlight w:val="none"/>
          <w:u w:val="single"/>
        </w:rPr>
        <w:tab/>
      </w:r>
      <w:r>
        <w:rPr>
          <w:rFonts w:hint="eastAsia" w:eastAsia="仿宋_GB2312"/>
          <w:sz w:val="32"/>
          <w:szCs w:val="32"/>
          <w:highlight w:val="none"/>
          <w:u w:val="single"/>
          <w:lang w:val="en-US" w:eastAsia="zh-CN"/>
        </w:rPr>
        <w:t>263.74</w:t>
      </w:r>
      <w:r>
        <w:rPr>
          <w:rFonts w:eastAsia="仿宋_GB2312"/>
          <w:sz w:val="32"/>
          <w:szCs w:val="32"/>
          <w:highlight w:val="none"/>
        </w:rPr>
        <w:t>万元，</w:t>
      </w:r>
      <w:r>
        <w:rPr>
          <w:rFonts w:hint="eastAsia" w:eastAsia="仿宋_GB2312"/>
          <w:sz w:val="32"/>
          <w:szCs w:val="32"/>
          <w:highlight w:val="none"/>
          <w:lang w:eastAsia="zh-CN"/>
        </w:rPr>
        <w:t>减少</w:t>
      </w:r>
      <w:r>
        <w:rPr>
          <w:rFonts w:hint="eastAsia" w:eastAsia="仿宋_GB2312"/>
          <w:sz w:val="32"/>
          <w:szCs w:val="32"/>
          <w:highlight w:val="none"/>
          <w:u w:val="single"/>
          <w:lang w:val="en-US" w:eastAsia="zh-CN"/>
        </w:rPr>
        <w:t>53.51</w:t>
      </w:r>
      <w:r>
        <w:rPr>
          <w:rFonts w:hint="eastAsia" w:ascii="仿宋_GB2312" w:hAnsi="仿宋_GB2312" w:eastAsia="仿宋_GB2312"/>
          <w:sz w:val="32"/>
          <w:szCs w:val="32"/>
          <w:highlight w:val="none"/>
          <w:lang w:eastAsia="zh-CN"/>
        </w:rPr>
        <w:t>%</w:t>
      </w:r>
      <w:r>
        <w:rPr>
          <w:rFonts w:eastAsia="仿宋_GB2312"/>
          <w:sz w:val="32"/>
          <w:szCs w:val="32"/>
          <w:highlight w:val="none"/>
        </w:rPr>
        <w:t>。主要原因</w:t>
      </w:r>
      <w:r>
        <w:rPr>
          <w:rFonts w:hint="eastAsia" w:eastAsia="仿宋_GB2312"/>
          <w:sz w:val="32"/>
          <w:szCs w:val="32"/>
          <w:highlight w:val="none"/>
          <w:lang w:val="en-US" w:eastAsia="zh-CN"/>
        </w:rPr>
        <w:t>2026年提前下达盟市业务费指标下达晚未纳入年初预算</w:t>
      </w:r>
      <w:r>
        <w:rPr>
          <w:rFonts w:eastAsia="仿宋_GB2312"/>
          <w:sz w:val="32"/>
          <w:szCs w:val="32"/>
          <w:highlight w:val="none"/>
        </w:rPr>
        <w:t>。</w:t>
      </w:r>
    </w:p>
    <w:p w14:paraId="5DD29F3F">
      <w:pPr>
        <w:pStyle w:val="4"/>
        <w:tabs>
          <w:tab w:val="left" w:pos="1389"/>
          <w:tab w:val="left" w:pos="4911"/>
          <w:tab w:val="left" w:pos="5991"/>
        </w:tabs>
        <w:spacing w:after="0" w:line="600" w:lineRule="exact"/>
        <w:ind w:firstLine="640" w:firstLineChars="200"/>
        <w:rPr>
          <w:rFonts w:eastAsia="仿宋_GB2312"/>
          <w:sz w:val="32"/>
          <w:szCs w:val="32"/>
          <w:highlight w:val="none"/>
        </w:rPr>
      </w:pPr>
    </w:p>
    <w:p w14:paraId="382E8603">
      <w:pPr>
        <w:pStyle w:val="4"/>
        <w:spacing w:after="0" w:line="600" w:lineRule="exact"/>
        <w:ind w:left="17" w:leftChars="8" w:firstLine="640" w:firstLineChars="200"/>
        <w:rPr>
          <w:rFonts w:eastAsia="仿宋_GB2312"/>
          <w:sz w:val="32"/>
          <w:szCs w:val="32"/>
          <w:highlight w:val="none"/>
        </w:rPr>
      </w:pPr>
      <w:r>
        <w:rPr>
          <w:rFonts w:eastAsia="仿宋_GB2312"/>
          <w:sz w:val="32"/>
          <w:szCs w:val="32"/>
          <w:highlight w:val="none"/>
        </w:rPr>
        <w:t>其中：</w:t>
      </w:r>
    </w:p>
    <w:p w14:paraId="5692ADCC">
      <w:pPr>
        <w:pStyle w:val="4"/>
        <w:spacing w:after="0" w:line="600" w:lineRule="exact"/>
        <w:ind w:left="17" w:leftChars="8" w:firstLine="640" w:firstLineChars="200"/>
        <w:rPr>
          <w:rFonts w:eastAsia="仿宋_GB2312"/>
          <w:sz w:val="32"/>
          <w:szCs w:val="32"/>
          <w:highlight w:val="none"/>
        </w:rPr>
      </w:pPr>
      <w:r>
        <w:rPr>
          <w:rFonts w:eastAsia="仿宋_GB2312"/>
          <w:sz w:val="32"/>
          <w:szCs w:val="32"/>
          <w:highlight w:val="none"/>
        </w:rPr>
        <w:t>1．城乡社区支出（类）政府住房基金及对应专项债务收入安排的支出（款）管理费用支出（项）支出</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万元，主要是用于</w:t>
      </w:r>
      <w:r>
        <w:rPr>
          <w:rFonts w:hint="eastAsia" w:eastAsia="仿宋_GB2312"/>
          <w:sz w:val="32"/>
          <w:szCs w:val="32"/>
          <w:highlight w:val="none"/>
          <w:lang w:val="en-US" w:eastAsia="zh-CN"/>
        </w:rPr>
        <w:t>不存在此内容</w:t>
      </w:r>
      <w:r>
        <w:rPr>
          <w:rFonts w:eastAsia="仿宋_GB2312"/>
          <w:sz w:val="32"/>
          <w:szCs w:val="32"/>
          <w:highlight w:val="none"/>
        </w:rPr>
        <w:t>。</w:t>
      </w:r>
    </w:p>
    <w:p w14:paraId="2703B204">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九、国有资本经营预算支出预算情况说明</w:t>
      </w:r>
    </w:p>
    <w:p w14:paraId="1E461B52">
      <w:pPr>
        <w:spacing w:line="600" w:lineRule="exact"/>
        <w:ind w:firstLine="640" w:firstLineChars="200"/>
        <w:rPr>
          <w:rFonts w:eastAsia="仿宋_GB2312" w:cstheme="minorBidi"/>
          <w:sz w:val="32"/>
          <w:szCs w:val="32"/>
          <w:highlight w:val="none"/>
        </w:rPr>
      </w:pPr>
      <w:r>
        <w:rPr>
          <w:rFonts w:hint="eastAsia" w:ascii="仿宋_GB2312" w:hAnsi="仿宋_GB2312" w:eastAsia="仿宋_GB2312" w:cs="仿宋"/>
          <w:sz w:val="32"/>
          <w:szCs w:val="32"/>
          <w:highlight w:val="none"/>
          <w:u w:val="single"/>
          <w:lang w:val="en-US" w:eastAsia="zh-CN"/>
        </w:rPr>
        <w:t>巴彦淖尔市体育彩票销售管理中心</w:t>
      </w:r>
      <w:r>
        <w:rPr>
          <w:rFonts w:hint="eastAsia" w:ascii="仿宋_GB2312" w:hAnsi="仿宋_GB2312" w:eastAsia="仿宋_GB2312" w:cs="仿宋_GB2312"/>
          <w:sz w:val="32"/>
          <w:szCs w:val="32"/>
          <w:highlight w:val="none"/>
          <w:u w:val="single"/>
        </w:rPr>
        <w:t>单位</w:t>
      </w:r>
      <w:r>
        <w:rPr>
          <w:rFonts w:hint="eastAsia" w:ascii="仿宋_GB2312" w:hAnsi="仿宋_GB2312" w:eastAsia="仿宋_GB2312" w:cs="仿宋_GB2312"/>
          <w:sz w:val="32"/>
          <w:szCs w:val="32"/>
          <w:highlight w:val="none"/>
          <w:u w:val="single"/>
          <w:lang w:val="en-US" w:eastAsia="zh-CN"/>
        </w:rPr>
        <w:t>2026</w:t>
      </w:r>
      <w:r>
        <w:rPr>
          <w:rFonts w:eastAsia="仿宋_GB2312"/>
          <w:sz w:val="32"/>
          <w:szCs w:val="32"/>
          <w:highlight w:val="none"/>
        </w:rPr>
        <w:t>年度</w:t>
      </w:r>
      <w:r>
        <w:rPr>
          <w:rFonts w:hint="eastAsia" w:eastAsia="仿宋_GB2312" w:cstheme="minorBidi"/>
          <w:sz w:val="32"/>
          <w:szCs w:val="32"/>
          <w:highlight w:val="none"/>
        </w:rPr>
        <w:t>国有资本经营预算支出</w:t>
      </w:r>
      <w:r>
        <w:rPr>
          <w:rFonts w:hint="eastAsia" w:eastAsia="仿宋_GB2312" w:cstheme="minorBidi"/>
          <w:sz w:val="32"/>
          <w:szCs w:val="32"/>
          <w:highlight w:val="none"/>
          <w:u w:val="single"/>
        </w:rPr>
        <w:tab/>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u w:val="single"/>
          <w:lang w:val="en-US" w:eastAsia="zh-CN"/>
        </w:rPr>
        <w:t>0</w:t>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rPr>
        <w:t>万元。与上年相比增加</w:t>
      </w:r>
      <w:r>
        <w:rPr>
          <w:rFonts w:hint="eastAsia" w:eastAsia="仿宋_GB2312" w:cstheme="minorBidi"/>
          <w:sz w:val="32"/>
          <w:szCs w:val="32"/>
          <w:highlight w:val="none"/>
          <w:lang w:val="en-US" w:eastAsia="zh-CN"/>
        </w:rPr>
        <w:t>0</w:t>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rPr>
        <w:t>万元，增长</w:t>
      </w:r>
      <w:r>
        <w:rPr>
          <w:rFonts w:hint="eastAsia" w:eastAsia="仿宋_GB2312" w:cstheme="minorBidi"/>
          <w:sz w:val="32"/>
          <w:szCs w:val="32"/>
          <w:highlight w:val="none"/>
          <w:lang w:val="en-US" w:eastAsia="zh-CN"/>
        </w:rPr>
        <w:t>0</w:t>
      </w:r>
      <w:r>
        <w:rPr>
          <w:rFonts w:hint="eastAsia" w:eastAsia="仿宋_GB2312" w:cstheme="minorBidi"/>
          <w:sz w:val="32"/>
          <w:szCs w:val="32"/>
          <w:highlight w:val="none"/>
          <w:u w:val="single"/>
        </w:rPr>
        <w:tab/>
      </w:r>
      <w:r>
        <w:rPr>
          <w:rFonts w:hint="eastAsia" w:eastAsia="仿宋_GB2312" w:cstheme="minorBidi"/>
          <w:sz w:val="32"/>
          <w:szCs w:val="32"/>
          <w:highlight w:val="none"/>
          <w:u w:val="single"/>
        </w:rPr>
        <w:t xml:space="preserve">  </w:t>
      </w:r>
      <w:r>
        <w:rPr>
          <w:rFonts w:hint="eastAsia" w:ascii="仿宋_GB2312" w:hAnsi="仿宋_GB2312" w:eastAsia="仿宋_GB2312" w:cstheme="minorBidi"/>
          <w:sz w:val="32"/>
          <w:szCs w:val="32"/>
          <w:highlight w:val="none"/>
          <w:lang w:eastAsia="zh-CN"/>
        </w:rPr>
        <w:t>%</w:t>
      </w:r>
      <w:r>
        <w:rPr>
          <w:rFonts w:hint="eastAsia" w:eastAsia="仿宋_GB2312" w:cstheme="minorBidi"/>
          <w:sz w:val="32"/>
          <w:szCs w:val="32"/>
          <w:highlight w:val="none"/>
        </w:rPr>
        <w:t>。主要原因</w:t>
      </w:r>
      <w:r>
        <w:rPr>
          <w:rFonts w:hint="eastAsia" w:eastAsia="仿宋_GB2312"/>
          <w:sz w:val="32"/>
          <w:szCs w:val="32"/>
          <w:highlight w:val="none"/>
          <w:lang w:val="en-US" w:eastAsia="zh-CN"/>
        </w:rPr>
        <w:t>不存在此内容</w:t>
      </w:r>
      <w:r>
        <w:rPr>
          <w:rFonts w:hint="eastAsia" w:eastAsia="仿宋_GB2312" w:cstheme="minorBidi"/>
          <w:sz w:val="32"/>
          <w:szCs w:val="32"/>
          <w:highlight w:val="none"/>
        </w:rPr>
        <w:t>。</w:t>
      </w:r>
    </w:p>
    <w:p w14:paraId="0E8316BA">
      <w:pPr>
        <w:spacing w:line="600" w:lineRule="exact"/>
        <w:ind w:firstLine="640" w:firstLineChars="200"/>
        <w:rPr>
          <w:rFonts w:eastAsia="仿宋_GB2312" w:cstheme="minorBidi"/>
          <w:sz w:val="32"/>
          <w:szCs w:val="32"/>
          <w:highlight w:val="none"/>
        </w:rPr>
      </w:pPr>
      <w:r>
        <w:rPr>
          <w:rFonts w:hint="eastAsia" w:eastAsia="仿宋_GB2312" w:cstheme="minorBidi"/>
          <w:sz w:val="32"/>
          <w:szCs w:val="32"/>
          <w:highlight w:val="none"/>
        </w:rPr>
        <w:t>其中：</w:t>
      </w:r>
    </w:p>
    <w:p w14:paraId="6C0D0B50">
      <w:pPr>
        <w:spacing w:line="600" w:lineRule="exact"/>
        <w:ind w:firstLine="640" w:firstLineChars="200"/>
        <w:rPr>
          <w:rFonts w:eastAsia="仿宋_GB2312" w:cstheme="minorBidi"/>
          <w:sz w:val="32"/>
          <w:szCs w:val="32"/>
          <w:highlight w:val="none"/>
        </w:rPr>
      </w:pPr>
      <w:r>
        <w:rPr>
          <w:rFonts w:hint="eastAsia" w:eastAsia="仿宋_GB2312" w:cstheme="minorBidi"/>
          <w:sz w:val="32"/>
          <w:szCs w:val="32"/>
          <w:highlight w:val="none"/>
        </w:rPr>
        <w:t>1．国有资本经营预算支出（类）解决历史遗留问题及改革成本支出（款）“三供一业”移交补助支出（项）支出</w:t>
      </w:r>
      <w:r>
        <w:rPr>
          <w:rFonts w:hint="eastAsia" w:eastAsia="仿宋_GB2312" w:cstheme="minorBidi"/>
          <w:sz w:val="32"/>
          <w:szCs w:val="32"/>
          <w:highlight w:val="none"/>
          <w:u w:val="single"/>
        </w:rPr>
        <w:tab/>
      </w:r>
      <w:r>
        <w:rPr>
          <w:rFonts w:hint="eastAsia" w:eastAsia="仿宋_GB2312" w:cstheme="minorBidi"/>
          <w:sz w:val="32"/>
          <w:szCs w:val="32"/>
          <w:highlight w:val="none"/>
          <w:u w:val="single"/>
          <w:lang w:val="en-US" w:eastAsia="zh-CN"/>
        </w:rPr>
        <w:t>0</w:t>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rPr>
        <w:t>万元，主要是用于</w:t>
      </w:r>
      <w:r>
        <w:rPr>
          <w:rFonts w:hint="eastAsia" w:eastAsia="仿宋_GB2312"/>
          <w:sz w:val="32"/>
          <w:szCs w:val="32"/>
          <w:highlight w:val="none"/>
          <w:lang w:val="en-US" w:eastAsia="zh-CN"/>
        </w:rPr>
        <w:t>不存在此内容</w:t>
      </w:r>
      <w:r>
        <w:rPr>
          <w:rFonts w:hint="eastAsia" w:eastAsia="仿宋_GB2312" w:cstheme="minorBidi"/>
          <w:sz w:val="32"/>
          <w:szCs w:val="32"/>
          <w:highlight w:val="none"/>
        </w:rPr>
        <w:t>。</w:t>
      </w:r>
    </w:p>
    <w:p w14:paraId="592CF19F">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十、项目支出预算情况说明</w:t>
      </w:r>
    </w:p>
    <w:p w14:paraId="64283C7F">
      <w:pPr>
        <w:spacing w:line="600" w:lineRule="exact"/>
        <w:ind w:firstLine="640" w:firstLineChars="200"/>
        <w:rPr>
          <w:rFonts w:eastAsia="仿宋_GB2312"/>
          <w:sz w:val="32"/>
          <w:szCs w:val="32"/>
          <w:highlight w:val="none"/>
        </w:rPr>
      </w:pPr>
      <w:r>
        <w:rPr>
          <w:rFonts w:hint="eastAsia" w:ascii="仿宋_GB2312" w:hAnsi="仿宋_GB2312" w:eastAsia="仿宋_GB2312" w:cs="仿宋"/>
          <w:sz w:val="32"/>
          <w:szCs w:val="32"/>
          <w:highlight w:val="none"/>
          <w:u w:val="single"/>
          <w:lang w:val="en-US" w:eastAsia="zh-CN"/>
        </w:rPr>
        <w:t>巴彦淖尔市体育彩票销售管理中心</w:t>
      </w:r>
      <w:r>
        <w:rPr>
          <w:rFonts w:hint="eastAsia" w:ascii="仿宋_GB2312" w:hAnsi="仿宋_GB2312" w:eastAsia="仿宋_GB2312" w:cs="仿宋_GB2312"/>
          <w:sz w:val="32"/>
          <w:szCs w:val="32"/>
          <w:highlight w:val="none"/>
          <w:u w:val="single"/>
        </w:rPr>
        <w:t>单位</w:t>
      </w:r>
      <w:r>
        <w:rPr>
          <w:rFonts w:hint="eastAsia" w:ascii="仿宋_GB2312" w:hAnsi="仿宋_GB2312" w:eastAsia="仿宋_GB2312" w:cs="仿宋_GB2312"/>
          <w:sz w:val="32"/>
          <w:szCs w:val="32"/>
          <w:highlight w:val="none"/>
          <w:u w:val="single"/>
          <w:lang w:val="en-US" w:eastAsia="zh-CN"/>
        </w:rPr>
        <w:t>2026</w:t>
      </w:r>
      <w:r>
        <w:rPr>
          <w:rFonts w:eastAsia="仿宋_GB2312"/>
          <w:sz w:val="32"/>
          <w:szCs w:val="32"/>
          <w:highlight w:val="none"/>
        </w:rPr>
        <w:t>年度预算安排项目</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w:t>
      </w:r>
      <w:r>
        <w:rPr>
          <w:rFonts w:eastAsia="仿宋_GB2312"/>
          <w:sz w:val="32"/>
          <w:szCs w:val="32"/>
          <w:highlight w:val="none"/>
          <w:u w:val="single"/>
        </w:rPr>
        <w:t xml:space="preserve"> </w:t>
      </w:r>
      <w:r>
        <w:rPr>
          <w:rFonts w:eastAsia="仿宋_GB2312"/>
          <w:sz w:val="32"/>
          <w:szCs w:val="32"/>
          <w:highlight w:val="none"/>
        </w:rPr>
        <w:t>个，项目预算总金额</w:t>
      </w:r>
      <w:r>
        <w:rPr>
          <w:rFonts w:eastAsia="仿宋_GB2312"/>
          <w:sz w:val="32"/>
          <w:szCs w:val="32"/>
          <w:highlight w:val="none"/>
          <w:u w:val="single"/>
        </w:rPr>
        <w:tab/>
      </w:r>
      <w:r>
        <w:rPr>
          <w:rFonts w:hint="eastAsia" w:eastAsia="仿宋_GB2312"/>
          <w:sz w:val="32"/>
          <w:szCs w:val="32"/>
          <w:highlight w:val="none"/>
          <w:u w:val="single"/>
          <w:lang w:val="en-US" w:eastAsia="zh-CN"/>
        </w:rPr>
        <w:t>229.1</w:t>
      </w:r>
      <w:r>
        <w:rPr>
          <w:rFonts w:eastAsia="仿宋_GB2312"/>
          <w:sz w:val="32"/>
          <w:szCs w:val="32"/>
          <w:highlight w:val="none"/>
        </w:rPr>
        <w:t>万元。其中，财政本年拨款金额</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rPr>
        <w:t>万元，财政拨款结转结余</w:t>
      </w:r>
      <w:r>
        <w:rPr>
          <w:rFonts w:eastAsia="仿宋_GB2312"/>
          <w:sz w:val="32"/>
          <w:szCs w:val="32"/>
          <w:highlight w:val="none"/>
          <w:u w:val="single"/>
        </w:rPr>
        <w:tab/>
      </w:r>
      <w:r>
        <w:rPr>
          <w:rFonts w:hint="eastAsia" w:eastAsia="仿宋_GB2312"/>
          <w:sz w:val="32"/>
          <w:szCs w:val="32"/>
          <w:highlight w:val="none"/>
          <w:u w:val="single"/>
          <w:lang w:val="en-US" w:eastAsia="zh-CN"/>
        </w:rPr>
        <w:t>229.1</w:t>
      </w:r>
      <w:r>
        <w:rPr>
          <w:rFonts w:eastAsia="仿宋_GB2312"/>
          <w:sz w:val="32"/>
          <w:szCs w:val="32"/>
          <w:highlight w:val="none"/>
          <w:u w:val="single"/>
        </w:rPr>
        <w:t xml:space="preserve"> </w:t>
      </w:r>
      <w:r>
        <w:rPr>
          <w:rFonts w:eastAsia="仿宋_GB2312"/>
          <w:sz w:val="32"/>
          <w:szCs w:val="32"/>
          <w:highlight w:val="none"/>
        </w:rPr>
        <w:t>万元，财政专户管理资金</w:t>
      </w:r>
      <w:r>
        <w:rPr>
          <w:rFonts w:eastAsia="仿宋_GB2312"/>
          <w:sz w:val="32"/>
          <w:szCs w:val="32"/>
          <w:highlight w:val="non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万元，单位资金</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w:t>
      </w:r>
    </w:p>
    <w:p w14:paraId="2454B245">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十一、</w:t>
      </w:r>
      <w:r>
        <w:rPr>
          <w:rFonts w:hint="eastAsia" w:eastAsia="黑体" w:cs="黑体"/>
          <w:sz w:val="32"/>
          <w:szCs w:val="36"/>
          <w:highlight w:val="none"/>
          <w:lang w:val="en-US" w:eastAsia="zh-CN"/>
        </w:rPr>
        <w:t>机构</w:t>
      </w:r>
      <w:r>
        <w:rPr>
          <w:rFonts w:hint="eastAsia" w:eastAsia="黑体" w:cs="黑体"/>
          <w:sz w:val="32"/>
          <w:szCs w:val="36"/>
          <w:highlight w:val="none"/>
        </w:rPr>
        <w:t>运行经费支出预算情况说明</w:t>
      </w:r>
    </w:p>
    <w:p w14:paraId="310B7AF6">
      <w:pPr>
        <w:spacing w:line="600" w:lineRule="exact"/>
        <w:ind w:firstLine="640" w:firstLineChars="200"/>
        <w:rPr>
          <w:rFonts w:eastAsia="仿宋_GB2312" w:cstheme="minorBidi"/>
          <w:sz w:val="32"/>
          <w:szCs w:val="32"/>
          <w:highlight w:val="none"/>
        </w:rPr>
      </w:pPr>
      <w:r>
        <w:rPr>
          <w:rFonts w:hint="eastAsia" w:ascii="仿宋_GB2312" w:hAnsi="仿宋_GB2312" w:eastAsia="仿宋_GB2312" w:cs="仿宋"/>
          <w:sz w:val="32"/>
          <w:szCs w:val="32"/>
          <w:highlight w:val="none"/>
          <w:u w:val="single"/>
          <w:lang w:val="en-US" w:eastAsia="zh-CN"/>
        </w:rPr>
        <w:t>巴彦淖尔市体育彩票销售管理中心</w:t>
      </w:r>
      <w:r>
        <w:rPr>
          <w:rFonts w:hint="eastAsia" w:ascii="仿宋_GB2312" w:hAnsi="仿宋_GB2312" w:eastAsia="仿宋_GB2312" w:cs="仿宋_GB2312"/>
          <w:sz w:val="32"/>
          <w:szCs w:val="32"/>
          <w:highlight w:val="none"/>
          <w:u w:val="single"/>
        </w:rPr>
        <w:t>单位</w:t>
      </w:r>
      <w:r>
        <w:rPr>
          <w:rFonts w:hint="eastAsia" w:ascii="仿宋_GB2312" w:hAnsi="仿宋_GB2312" w:eastAsia="仿宋_GB2312" w:cs="仿宋_GB2312"/>
          <w:sz w:val="32"/>
          <w:szCs w:val="32"/>
          <w:highlight w:val="none"/>
          <w:u w:val="single"/>
          <w:lang w:val="en-US" w:eastAsia="zh-CN"/>
        </w:rPr>
        <w:t>2026</w:t>
      </w:r>
      <w:r>
        <w:rPr>
          <w:rFonts w:eastAsia="仿宋_GB2312"/>
          <w:sz w:val="32"/>
          <w:szCs w:val="32"/>
          <w:highlight w:val="none"/>
        </w:rPr>
        <w:t>年度</w:t>
      </w:r>
      <w:r>
        <w:rPr>
          <w:rFonts w:hint="eastAsia" w:eastAsia="仿宋_GB2312"/>
          <w:sz w:val="32"/>
          <w:szCs w:val="32"/>
          <w:highlight w:val="none"/>
          <w:lang w:val="en-US" w:eastAsia="zh-CN"/>
        </w:rPr>
        <w:t>机构</w:t>
      </w:r>
      <w:r>
        <w:rPr>
          <w:rFonts w:eastAsia="仿宋_GB2312"/>
          <w:sz w:val="32"/>
          <w:szCs w:val="32"/>
          <w:highlight w:val="none"/>
        </w:rPr>
        <w:t>运行经费预算支出</w:t>
      </w:r>
      <w:r>
        <w:rPr>
          <w:rFonts w:hint="eastAsia" w:eastAsia="仿宋_GB2312"/>
          <w:sz w:val="32"/>
          <w:szCs w:val="32"/>
          <w:highlight w:val="none"/>
          <w:lang w:val="en-US" w:eastAsia="zh-CN"/>
        </w:rPr>
        <w:t xml:space="preserve"> </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rPr>
        <w:t>万元</w:t>
      </w:r>
      <w:r>
        <w:rPr>
          <w:rFonts w:hint="eastAsia" w:eastAsia="仿宋_GB2312" w:cstheme="minorBidi"/>
          <w:sz w:val="32"/>
          <w:szCs w:val="32"/>
          <w:highlight w:val="none"/>
        </w:rPr>
        <w:t>，</w:t>
      </w:r>
      <w:r>
        <w:rPr>
          <w:rFonts w:eastAsia="仿宋_GB2312"/>
          <w:color w:val="000000" w:themeColor="text1"/>
          <w:sz w:val="32"/>
          <w:szCs w:val="32"/>
          <w:highlight w:val="none"/>
          <w14:textFill>
            <w14:solidFill>
              <w14:schemeClr w14:val="tx1"/>
            </w14:solidFill>
          </w14:textFill>
        </w:rPr>
        <w:t>与</w:t>
      </w:r>
      <w:r>
        <w:rPr>
          <w:rFonts w:eastAsia="仿宋_GB2312"/>
          <w:sz w:val="32"/>
          <w:szCs w:val="32"/>
          <w:highlight w:val="none"/>
        </w:rPr>
        <w:t>上年相比增加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32"/>
          <w:highlight w:val="none"/>
          <w:lang w:val="en-US" w:eastAsia="zh-CN"/>
        </w:rPr>
        <w:t>不存在此项内容</w:t>
      </w:r>
      <w:r>
        <w:rPr>
          <w:rFonts w:eastAsia="仿宋_GB2312"/>
          <w:sz w:val="32"/>
          <w:szCs w:val="32"/>
          <w:highlight w:val="none"/>
        </w:rPr>
        <w:t>。</w:t>
      </w:r>
    </w:p>
    <w:p w14:paraId="0FCCEB10">
      <w:pPr>
        <w:spacing w:line="600" w:lineRule="exact"/>
        <w:ind w:left="0" w:leftChars="0" w:firstLine="640" w:firstLineChars="200"/>
        <w:outlineLvl w:val="2"/>
        <w:rPr>
          <w:rFonts w:eastAsia="黑体" w:cs="黑体"/>
          <w:b/>
          <w:bCs/>
          <w:sz w:val="32"/>
          <w:szCs w:val="36"/>
          <w:highlight w:val="none"/>
        </w:rPr>
      </w:pPr>
      <w:r>
        <w:rPr>
          <w:rFonts w:hint="eastAsia" w:eastAsia="黑体" w:cs="黑体"/>
          <w:sz w:val="32"/>
          <w:szCs w:val="36"/>
          <w:highlight w:val="none"/>
        </w:rPr>
        <w:t>十二、政府采购支出预算情况说明</w:t>
      </w:r>
    </w:p>
    <w:p w14:paraId="5CFE1383">
      <w:pPr>
        <w:spacing w:line="600" w:lineRule="exact"/>
        <w:ind w:firstLine="640" w:firstLineChars="200"/>
        <w:rPr>
          <w:rFonts w:eastAsia="仿宋_GB2312"/>
          <w:sz w:val="32"/>
          <w:szCs w:val="32"/>
          <w:highlight w:val="none"/>
        </w:rPr>
      </w:pPr>
      <w:r>
        <w:rPr>
          <w:rFonts w:hint="eastAsia" w:ascii="仿宋_GB2312" w:hAnsi="仿宋_GB2312" w:eastAsia="仿宋_GB2312" w:cs="仿宋"/>
          <w:sz w:val="32"/>
          <w:szCs w:val="32"/>
          <w:highlight w:val="none"/>
          <w:u w:val="single"/>
          <w:lang w:val="en-US" w:eastAsia="zh-CN"/>
        </w:rPr>
        <w:t>巴彦淖尔市体育彩票销售管理中心</w:t>
      </w:r>
      <w:r>
        <w:rPr>
          <w:rFonts w:hint="eastAsia" w:ascii="仿宋_GB2312" w:hAnsi="仿宋_GB2312" w:eastAsia="仿宋_GB2312" w:cs="仿宋_GB2312"/>
          <w:sz w:val="32"/>
          <w:szCs w:val="32"/>
          <w:highlight w:val="none"/>
          <w:u w:val="single"/>
        </w:rPr>
        <w:t>单位</w:t>
      </w:r>
      <w:r>
        <w:rPr>
          <w:rFonts w:hint="eastAsia" w:ascii="仿宋_GB2312" w:hAnsi="仿宋_GB2312" w:eastAsia="仿宋_GB2312" w:cs="仿宋_GB2312"/>
          <w:sz w:val="32"/>
          <w:szCs w:val="32"/>
          <w:highlight w:val="none"/>
          <w:u w:val="single"/>
          <w:lang w:val="en-US" w:eastAsia="zh-CN"/>
        </w:rPr>
        <w:t>2026</w:t>
      </w:r>
      <w:r>
        <w:rPr>
          <w:rFonts w:eastAsia="仿宋_GB2312"/>
          <w:sz w:val="32"/>
          <w:szCs w:val="32"/>
          <w:highlight w:val="none"/>
        </w:rPr>
        <w:t>年度政府采购支出预算总额</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万元，其中：拟采购货物支出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rPr>
        <w:t>万元、拟采购工程支出</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万元、拟购买服务支出</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w:t>
      </w:r>
    </w:p>
    <w:p w14:paraId="4495B349">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十三、国有资产占用情况说明</w:t>
      </w:r>
    </w:p>
    <w:p w14:paraId="23B7317C">
      <w:pPr>
        <w:spacing w:line="600" w:lineRule="exact"/>
        <w:ind w:firstLine="640" w:firstLineChars="200"/>
        <w:rPr>
          <w:rFonts w:eastAsia="仿宋_GB2312" w:cstheme="minorBidi"/>
          <w:sz w:val="32"/>
          <w:szCs w:val="32"/>
          <w:highlight w:val="none"/>
        </w:rPr>
      </w:pPr>
      <w:r>
        <w:rPr>
          <w:rFonts w:hint="eastAsia" w:ascii="仿宋_GB2312" w:hAnsi="仿宋_GB2312" w:eastAsia="仿宋_GB2312" w:cs="仿宋"/>
          <w:sz w:val="32"/>
          <w:szCs w:val="32"/>
          <w:highlight w:val="none"/>
          <w:u w:val="single"/>
          <w:lang w:val="en-US" w:eastAsia="zh-CN"/>
        </w:rPr>
        <w:t>巴彦淖尔市体育彩票销售管理中心</w:t>
      </w:r>
      <w:r>
        <w:rPr>
          <w:rFonts w:hint="eastAsia" w:ascii="仿宋_GB2312" w:hAnsi="仿宋_GB2312" w:eastAsia="仿宋_GB2312" w:cs="仿宋_GB2312"/>
          <w:sz w:val="32"/>
          <w:szCs w:val="32"/>
          <w:highlight w:val="none"/>
          <w:u w:val="single"/>
        </w:rPr>
        <w:t>单位</w:t>
      </w:r>
      <w:r>
        <w:rPr>
          <w:rFonts w:eastAsia="仿宋_GB2312"/>
          <w:sz w:val="32"/>
          <w:szCs w:val="32"/>
          <w:highlight w:val="none"/>
        </w:rPr>
        <w:t>共有车辆</w:t>
      </w:r>
      <w:r>
        <w:rPr>
          <w:rFonts w:eastAsia="仿宋_GB2312"/>
          <w:sz w:val="32"/>
          <w:szCs w:val="32"/>
          <w:highlight w:val="none"/>
          <w:u w:val="single"/>
        </w:rPr>
        <w:tab/>
      </w:r>
      <w:r>
        <w:rPr>
          <w:rFonts w:hint="eastAsia" w:eastAsia="仿宋_GB2312"/>
          <w:sz w:val="32"/>
          <w:szCs w:val="32"/>
          <w:highlight w:val="none"/>
          <w:u w:val="single"/>
          <w:lang w:val="en-US" w:eastAsia="zh-CN"/>
        </w:rPr>
        <w:t>2</w:t>
      </w:r>
      <w:r>
        <w:rPr>
          <w:rFonts w:eastAsia="仿宋_GB2312"/>
          <w:sz w:val="32"/>
          <w:szCs w:val="32"/>
          <w:highlight w:val="none"/>
          <w:u w:val="single"/>
        </w:rPr>
        <w:t xml:space="preserve">  </w:t>
      </w:r>
      <w:r>
        <w:rPr>
          <w:rFonts w:eastAsia="仿宋_GB2312"/>
          <w:sz w:val="32"/>
          <w:szCs w:val="32"/>
          <w:highlight w:val="none"/>
        </w:rPr>
        <w:t>辆，其中，一般公务用车</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辆、执法执勤用车</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辆、特种专业技术用车</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辆、业务用车</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辆、其他用车</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2</w:t>
      </w:r>
      <w:r>
        <w:rPr>
          <w:rFonts w:eastAsia="仿宋_GB2312"/>
          <w:sz w:val="32"/>
          <w:szCs w:val="32"/>
          <w:highlight w:val="none"/>
          <w:u w:val="single"/>
        </w:rPr>
        <w:t xml:space="preserve"> </w:t>
      </w:r>
      <w:r>
        <w:rPr>
          <w:rFonts w:eastAsia="仿宋_GB2312"/>
          <w:sz w:val="32"/>
          <w:szCs w:val="32"/>
          <w:highlight w:val="none"/>
        </w:rPr>
        <w:t>辆等。单价50万元（含）以上的通用设备</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台（套），单价100万元（含）以上的专用设备</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台（套）。</w:t>
      </w:r>
    </w:p>
    <w:p w14:paraId="40C0F881">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 xml:space="preserve">十四、项目绩效目标情况说明 </w:t>
      </w:r>
    </w:p>
    <w:p w14:paraId="16FF0090">
      <w:pPr>
        <w:spacing w:line="600" w:lineRule="exact"/>
        <w:ind w:firstLine="640" w:firstLineChars="200"/>
        <w:rPr>
          <w:rFonts w:eastAsia="仿宋_GB2312" w:cstheme="minorBidi"/>
          <w:sz w:val="32"/>
          <w:szCs w:val="32"/>
          <w:highlight w:val="none"/>
        </w:rPr>
      </w:pPr>
      <w:r>
        <w:rPr>
          <w:rFonts w:hint="eastAsia" w:ascii="仿宋_GB2312" w:hAnsi="仿宋_GB2312" w:eastAsia="仿宋_GB2312" w:cs="仿宋"/>
          <w:sz w:val="32"/>
          <w:szCs w:val="32"/>
          <w:highlight w:val="none"/>
          <w:u w:val="single"/>
          <w:lang w:val="en-US" w:eastAsia="zh-CN"/>
        </w:rPr>
        <w:t>巴彦淖尔市体育彩票销售管理中心</w:t>
      </w:r>
      <w:r>
        <w:rPr>
          <w:rFonts w:hint="eastAsia" w:ascii="仿宋_GB2312" w:hAnsi="仿宋_GB2312" w:eastAsia="仿宋_GB2312" w:cs="仿宋_GB2312"/>
          <w:sz w:val="32"/>
          <w:szCs w:val="32"/>
          <w:highlight w:val="none"/>
          <w:u w:val="single"/>
        </w:rPr>
        <w:t>单位</w:t>
      </w:r>
      <w:r>
        <w:rPr>
          <w:rFonts w:hint="eastAsia" w:ascii="仿宋_GB2312" w:hAnsi="仿宋_GB2312" w:eastAsia="仿宋_GB2312" w:cs="仿宋_GB2312"/>
          <w:sz w:val="32"/>
          <w:szCs w:val="32"/>
          <w:highlight w:val="none"/>
          <w:u w:val="single"/>
          <w:lang w:val="en-US" w:eastAsia="zh-CN"/>
        </w:rPr>
        <w:t>2026</w:t>
      </w:r>
      <w:r>
        <w:rPr>
          <w:rFonts w:eastAsia="仿宋_GB2312"/>
          <w:sz w:val="32"/>
          <w:szCs w:val="32"/>
          <w:highlight w:val="none"/>
        </w:rPr>
        <w:t>年度</w:t>
      </w:r>
      <w:r>
        <w:rPr>
          <w:rFonts w:hint="eastAsia" w:eastAsia="仿宋_GB2312" w:cstheme="minorBidi"/>
          <w:sz w:val="32"/>
          <w:szCs w:val="32"/>
          <w:highlight w:val="none"/>
        </w:rPr>
        <w:t>填报绩效目标的预算项目</w:t>
      </w:r>
      <w:r>
        <w:rPr>
          <w:rFonts w:hint="eastAsia" w:eastAsia="仿宋_GB2312" w:cstheme="minorBidi"/>
          <w:sz w:val="32"/>
          <w:szCs w:val="32"/>
          <w:highlight w:val="none"/>
          <w:u w:val="single"/>
        </w:rPr>
        <w:tab/>
      </w:r>
      <w:r>
        <w:rPr>
          <w:rFonts w:hint="eastAsia" w:eastAsia="仿宋_GB2312" w:cstheme="minorBidi"/>
          <w:sz w:val="32"/>
          <w:szCs w:val="32"/>
          <w:highlight w:val="none"/>
          <w:u w:val="single"/>
          <w:lang w:val="en-US" w:eastAsia="zh-CN"/>
        </w:rPr>
        <w:t>1</w:t>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rPr>
        <w:t>个，公开</w:t>
      </w:r>
      <w:r>
        <w:rPr>
          <w:rFonts w:hint="eastAsia" w:eastAsia="仿宋_GB2312" w:cstheme="minorBidi"/>
          <w:sz w:val="32"/>
          <w:szCs w:val="32"/>
          <w:highlight w:val="none"/>
          <w:lang w:val="en-US" w:eastAsia="zh-CN"/>
        </w:rPr>
        <w:t>项目</w:t>
      </w:r>
      <w:r>
        <w:rPr>
          <w:rFonts w:hint="eastAsia" w:eastAsia="仿宋_GB2312" w:cstheme="minorBidi"/>
          <w:sz w:val="32"/>
          <w:szCs w:val="32"/>
          <w:highlight w:val="none"/>
          <w:u w:val="single"/>
        </w:rPr>
        <w:tab/>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u w:val="single"/>
          <w:lang w:val="en-US" w:eastAsia="zh-CN"/>
        </w:rPr>
        <w:t>1</w:t>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rPr>
        <w:t>个，公开项目占全部预算项目的100</w:t>
      </w:r>
      <w:r>
        <w:rPr>
          <w:rFonts w:hint="eastAsia" w:ascii="仿宋_GB2312" w:hAnsi="仿宋_GB2312" w:eastAsia="仿宋_GB2312" w:cstheme="minorBidi"/>
          <w:sz w:val="32"/>
          <w:szCs w:val="32"/>
          <w:highlight w:val="none"/>
          <w:lang w:eastAsia="zh-CN"/>
        </w:rPr>
        <w:t>%</w:t>
      </w:r>
      <w:r>
        <w:rPr>
          <w:rFonts w:hint="eastAsia" w:eastAsia="仿宋_GB2312" w:cstheme="minorBidi"/>
          <w:sz w:val="32"/>
          <w:szCs w:val="32"/>
          <w:highlight w:val="none"/>
        </w:rPr>
        <w:t>。公开填报绩效目标的项目预算</w:t>
      </w:r>
      <w:r>
        <w:rPr>
          <w:rFonts w:hint="eastAsia" w:eastAsia="仿宋_GB2312" w:cstheme="minorBidi"/>
          <w:sz w:val="32"/>
          <w:szCs w:val="32"/>
          <w:highlight w:val="none"/>
          <w:u w:val="single"/>
        </w:rPr>
        <w:tab/>
      </w:r>
      <w:r>
        <w:rPr>
          <w:rFonts w:hint="eastAsia" w:eastAsia="仿宋_GB2312" w:cstheme="minorBidi"/>
          <w:sz w:val="32"/>
          <w:szCs w:val="32"/>
          <w:highlight w:val="none"/>
          <w:u w:val="single"/>
          <w:lang w:val="en-US" w:eastAsia="zh-CN"/>
        </w:rPr>
        <w:t>229.1</w:t>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rPr>
        <w:t>万元，占全部项目预算的</w:t>
      </w:r>
      <w:r>
        <w:rPr>
          <w:rFonts w:hint="eastAsia" w:eastAsia="仿宋_GB2312" w:cstheme="minorBidi"/>
          <w:sz w:val="32"/>
          <w:szCs w:val="32"/>
          <w:highlight w:val="none"/>
          <w:lang w:val="en-US" w:eastAsia="zh-CN"/>
        </w:rPr>
        <w:t>100</w:t>
      </w:r>
      <w:r>
        <w:rPr>
          <w:rFonts w:hint="eastAsia" w:ascii="仿宋_GB2312" w:hAnsi="仿宋_GB2312" w:eastAsia="仿宋_GB2312" w:cstheme="minorBidi"/>
          <w:sz w:val="32"/>
          <w:szCs w:val="32"/>
          <w:highlight w:val="none"/>
          <w:lang w:eastAsia="zh-CN"/>
        </w:rPr>
        <w:t>%</w:t>
      </w:r>
      <w:r>
        <w:rPr>
          <w:rFonts w:hint="eastAsia" w:eastAsia="仿宋_GB2312" w:cstheme="minorBidi"/>
          <w:sz w:val="32"/>
          <w:szCs w:val="32"/>
          <w:highlight w:val="none"/>
        </w:rPr>
        <w:t xml:space="preserve">。 </w:t>
      </w:r>
    </w:p>
    <w:p w14:paraId="3031C135">
      <w:pPr>
        <w:pStyle w:val="8"/>
        <w:spacing w:after="0" w:line="600" w:lineRule="exact"/>
        <w:rPr>
          <w:rFonts w:hint="default" w:ascii="方正小标宋简体" w:hAnsi="方正小标宋简体" w:eastAsia="方正小标宋简体" w:cs="方正小标宋简体"/>
          <w:sz w:val="36"/>
          <w:szCs w:val="36"/>
          <w:highlight w:val="none"/>
        </w:rPr>
      </w:pPr>
    </w:p>
    <w:p w14:paraId="102BA85B">
      <w:pPr>
        <w:pStyle w:val="3"/>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highlight w:val="none"/>
        </w:rPr>
      </w:pPr>
      <w:bookmarkStart w:id="2" w:name="_Toc15573"/>
      <w:r>
        <w:rPr>
          <w:rFonts w:hint="eastAsia" w:ascii="方正小标宋简体" w:hAnsi="方正小标宋简体" w:eastAsia="方正小标宋简体" w:cs="方正小标宋简体"/>
          <w:b w:val="0"/>
          <w:bCs w:val="0"/>
          <w:sz w:val="36"/>
          <w:szCs w:val="36"/>
          <w:highlight w:val="none"/>
        </w:rPr>
        <w:t>第三部分</w:t>
      </w:r>
      <w:r>
        <w:rPr>
          <w:rFonts w:hint="eastAsia" w:ascii="方正小标宋简体" w:hAnsi="方正小标宋简体" w:eastAsia="方正小标宋简体" w:cs="方正小标宋简体"/>
          <w:b w:val="0"/>
          <w:bCs w:val="0"/>
          <w:sz w:val="36"/>
          <w:szCs w:val="36"/>
          <w:highlight w:val="none"/>
          <w:lang w:val="en-US" w:eastAsia="zh-CN"/>
        </w:rPr>
        <w:t xml:space="preserve">  </w:t>
      </w:r>
      <w:r>
        <w:rPr>
          <w:rFonts w:hint="eastAsia" w:ascii="方正小标宋简体" w:hAnsi="方正小标宋简体" w:eastAsia="方正小标宋简体" w:cs="方正小标宋简体"/>
          <w:b w:val="0"/>
          <w:bCs w:val="0"/>
          <w:sz w:val="36"/>
          <w:szCs w:val="36"/>
          <w:highlight w:val="none"/>
        </w:rPr>
        <w:t>名词解释</w:t>
      </w:r>
      <w:bookmarkEnd w:id="2"/>
    </w:p>
    <w:p w14:paraId="18633014">
      <w:pPr>
        <w:rPr>
          <w:sz w:val="36"/>
          <w:szCs w:val="36"/>
          <w:highlight w:val="none"/>
        </w:rPr>
      </w:pPr>
    </w:p>
    <w:p w14:paraId="5CDA35DA">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一、财政拨款：</w:t>
      </w:r>
      <w:r>
        <w:rPr>
          <w:rFonts w:hint="eastAsia" w:eastAsia="仿宋_GB2312" w:cstheme="minorBidi"/>
          <w:sz w:val="32"/>
          <w:szCs w:val="32"/>
          <w:highlight w:val="none"/>
        </w:rPr>
        <w:t>从同级财政部门取得的各类财政拨款，包括一般公共预算拨款、政府性基金预算拨款、国有资本经营预算拨款。</w:t>
      </w:r>
    </w:p>
    <w:p w14:paraId="57A16F89">
      <w:pPr>
        <w:spacing w:line="600" w:lineRule="exact"/>
        <w:ind w:firstLine="643" w:firstLineChars="200"/>
        <w:rPr>
          <w:highlight w:val="none"/>
        </w:rPr>
      </w:pPr>
      <w:r>
        <w:rPr>
          <w:rFonts w:hint="eastAsia" w:eastAsia="仿宋_GB2312" w:cstheme="minorBidi"/>
          <w:b/>
          <w:bCs/>
          <w:sz w:val="32"/>
          <w:szCs w:val="32"/>
          <w:highlight w:val="none"/>
        </w:rPr>
        <w:t>二、一般公共预算拨款收入：</w:t>
      </w:r>
      <w:r>
        <w:rPr>
          <w:rFonts w:hint="eastAsia" w:ascii="Times New Roman" w:hAnsi="Times New Roman" w:eastAsia="仿宋_GB2312" w:cs="仿宋"/>
          <w:bCs/>
          <w:sz w:val="30"/>
          <w:szCs w:val="30"/>
          <w:highlight w:val="none"/>
        </w:rPr>
        <w:t>指财政当年拨付的资金。</w:t>
      </w:r>
    </w:p>
    <w:p w14:paraId="7BA30CD8">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三、财政专户管理资金：</w:t>
      </w:r>
      <w:r>
        <w:rPr>
          <w:rFonts w:hint="eastAsia" w:eastAsia="仿宋_GB2312" w:cstheme="minorBidi"/>
          <w:sz w:val="32"/>
          <w:szCs w:val="32"/>
          <w:highlight w:val="none"/>
        </w:rPr>
        <w:t>缴入财政专户、实行专项管理的高中以上学费、住宿费、高校委托培养费、函大、电大、夜大及短训班培训费等教育收费。</w:t>
      </w:r>
    </w:p>
    <w:p w14:paraId="0A1229C0">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四、单位资金：</w:t>
      </w:r>
      <w:r>
        <w:rPr>
          <w:rFonts w:hint="eastAsia" w:eastAsia="仿宋_GB2312" w:cstheme="minorBidi"/>
          <w:sz w:val="32"/>
          <w:szCs w:val="32"/>
          <w:highlight w:val="none"/>
        </w:rPr>
        <w:t>除财政拨款收入和财政专户管理资金以外的收入，包括事业收入（不含教育收费）、上级补助收入、附属单位上缴收入、事业单位经营收入及其他收入（包含债务收入、投资收益等）。</w:t>
      </w:r>
    </w:p>
    <w:p w14:paraId="02BC2111">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五、基本支出：</w:t>
      </w:r>
      <w:r>
        <w:rPr>
          <w:rFonts w:hint="eastAsia" w:eastAsia="仿宋_GB2312" w:cstheme="minorBidi"/>
          <w:sz w:val="32"/>
          <w:szCs w:val="32"/>
          <w:highlight w:val="none"/>
        </w:rPr>
        <w:t>指为保障机构正常运转、完成工作任务而发生的人员支出和公用支出。</w:t>
      </w:r>
    </w:p>
    <w:p w14:paraId="12E2C487">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六、项目支出：</w:t>
      </w:r>
      <w:r>
        <w:rPr>
          <w:rFonts w:hint="eastAsia" w:eastAsia="仿宋_GB2312" w:cstheme="minorBidi"/>
          <w:sz w:val="32"/>
          <w:szCs w:val="32"/>
          <w:highlight w:val="none"/>
        </w:rPr>
        <w:t>指在基本支出之外为完成特定工作任务和事业发展目标所发生的支出。</w:t>
      </w:r>
    </w:p>
    <w:p w14:paraId="1FE8FF73">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七、对个人和家庭的补助：</w:t>
      </w:r>
      <w:r>
        <w:rPr>
          <w:rFonts w:hint="eastAsia" w:eastAsia="仿宋_GB2312" w:cstheme="minorBidi"/>
          <w:sz w:val="32"/>
          <w:szCs w:val="32"/>
          <w:highlight w:val="none"/>
        </w:rPr>
        <w:t>是指政府用于对个人和家庭的补助支出。</w:t>
      </w:r>
    </w:p>
    <w:p w14:paraId="6C633303">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八、“三公”经费：</w:t>
      </w:r>
      <w:r>
        <w:rPr>
          <w:rFonts w:hint="eastAsia" w:eastAsia="仿宋_GB2312" w:cstheme="minorBidi"/>
          <w:sz w:val="32"/>
          <w:szCs w:val="32"/>
          <w:highlight w:val="none"/>
        </w:rPr>
        <w:t>指单位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38FDF6D7">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九、</w:t>
      </w:r>
      <w:r>
        <w:rPr>
          <w:rFonts w:hint="eastAsia" w:eastAsia="仿宋_GB2312" w:cstheme="minorBidi"/>
          <w:b/>
          <w:bCs/>
          <w:sz w:val="32"/>
          <w:szCs w:val="32"/>
          <w:highlight w:val="none"/>
          <w:lang w:val="en-US" w:eastAsia="zh-CN"/>
        </w:rPr>
        <w:t>机构</w:t>
      </w:r>
      <w:r>
        <w:rPr>
          <w:rFonts w:hint="eastAsia" w:eastAsia="仿宋_GB2312" w:cstheme="minorBidi"/>
          <w:b/>
          <w:bCs/>
          <w:sz w:val="32"/>
          <w:szCs w:val="32"/>
          <w:highlight w:val="none"/>
        </w:rPr>
        <w:t>运行经费：</w:t>
      </w:r>
      <w:r>
        <w:rPr>
          <w:rFonts w:hint="eastAsia" w:eastAsia="仿宋_GB2312" w:cstheme="minorBidi"/>
          <w:sz w:val="32"/>
          <w:szCs w:val="32"/>
          <w:highlight w:val="none"/>
        </w:rPr>
        <w:t>指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0A8104C">
      <w:pPr>
        <w:spacing w:line="600" w:lineRule="exact"/>
        <w:jc w:val="center"/>
        <w:rPr>
          <w:rFonts w:ascii="方正小标宋简体" w:hAnsi="方正小标宋简体" w:eastAsia="方正小标宋简体" w:cs="方正小标宋简体"/>
          <w:sz w:val="36"/>
          <w:szCs w:val="36"/>
          <w:highlight w:val="none"/>
        </w:rPr>
      </w:pPr>
    </w:p>
    <w:p w14:paraId="649A1EC2">
      <w:pPr>
        <w:pStyle w:val="3"/>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highlight w:val="none"/>
        </w:rPr>
      </w:pPr>
      <w:bookmarkStart w:id="3" w:name="_Toc21331"/>
      <w:r>
        <w:rPr>
          <w:rFonts w:hint="eastAsia" w:ascii="方正小标宋简体" w:hAnsi="方正小标宋简体" w:eastAsia="方正小标宋简体" w:cs="方正小标宋简体"/>
          <w:b w:val="0"/>
          <w:bCs w:val="0"/>
          <w:sz w:val="36"/>
          <w:szCs w:val="36"/>
          <w:highlight w:val="none"/>
        </w:rPr>
        <w:t>第四部分</w:t>
      </w:r>
      <w:r>
        <w:rPr>
          <w:rFonts w:hint="eastAsia" w:ascii="方正小标宋简体" w:hAnsi="方正小标宋简体" w:eastAsia="方正小标宋简体" w:cs="方正小标宋简体"/>
          <w:b w:val="0"/>
          <w:bCs w:val="0"/>
          <w:sz w:val="36"/>
          <w:szCs w:val="36"/>
          <w:highlight w:val="none"/>
          <w:lang w:val="en-US" w:eastAsia="zh-CN"/>
        </w:rPr>
        <w:t xml:space="preserve">  </w:t>
      </w:r>
      <w:r>
        <w:rPr>
          <w:rFonts w:hint="eastAsia" w:ascii="方正小标宋简体" w:hAnsi="方正小标宋简体" w:eastAsia="方正小标宋简体" w:cs="方正小标宋简体"/>
          <w:b w:val="0"/>
          <w:bCs w:val="0"/>
          <w:sz w:val="36"/>
          <w:szCs w:val="36"/>
          <w:highlight w:val="none"/>
        </w:rPr>
        <w:t>预算公开联系方式及信息反馈渠道</w:t>
      </w:r>
      <w:bookmarkEnd w:id="3"/>
    </w:p>
    <w:p w14:paraId="5D9DF45F">
      <w:pPr>
        <w:snapToGrid w:val="0"/>
        <w:spacing w:line="600" w:lineRule="exact"/>
        <w:rPr>
          <w:rFonts w:ascii="方正小标宋简体" w:hAnsi="方正小标宋简体" w:eastAsia="方正小标宋简体" w:cs="方正小标宋简体"/>
          <w:sz w:val="36"/>
          <w:szCs w:val="36"/>
          <w:highlight w:val="none"/>
        </w:rPr>
      </w:pPr>
    </w:p>
    <w:p w14:paraId="1C5A6DB4">
      <w:pPr>
        <w:snapToGrid w:val="0"/>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本单位预算公开信息反馈和联系方式：</w:t>
      </w:r>
    </w:p>
    <w:p w14:paraId="66155A05">
      <w:pPr>
        <w:snapToGrid w:val="0"/>
        <w:spacing w:line="600" w:lineRule="exact"/>
        <w:ind w:firstLine="640" w:firstLineChars="200"/>
        <w:rPr>
          <w:rFonts w:hint="default" w:ascii="仿宋_GB2312" w:hAnsi="仿宋_GB2312" w:eastAsia="仿宋_GB2312" w:cs="仿宋_GB2312"/>
          <w:sz w:val="32"/>
          <w:szCs w:val="32"/>
          <w:highlight w:val="none"/>
          <w:lang w:val="en-US" w:eastAsia="zh-CN"/>
        </w:rPr>
        <w:sectPr>
          <w:headerReference r:id="rId3" w:type="default"/>
          <w:footerReference r:id="rId4" w:type="default"/>
          <w:pgSz w:w="11910" w:h="16840"/>
          <w:pgMar w:top="1580" w:right="1630" w:bottom="280" w:left="1240" w:header="720" w:footer="720" w:gutter="0"/>
          <w:pgNumType w:fmt="numberInDash"/>
          <w:cols w:space="720" w:num="1"/>
        </w:sectPr>
      </w:pPr>
      <w:r>
        <w:rPr>
          <w:rFonts w:hint="eastAsia" w:ascii="仿宋_GB2312" w:hAnsi="仿宋_GB2312" w:eastAsia="仿宋_GB2312" w:cs="仿宋_GB2312"/>
          <w:sz w:val="32"/>
          <w:szCs w:val="32"/>
          <w:highlight w:val="none"/>
        </w:rPr>
        <w:t>联系人：</w:t>
      </w:r>
      <w:r>
        <w:rPr>
          <w:rFonts w:hint="eastAsia" w:ascii="仿宋_GB2312" w:hAnsi="仿宋_GB2312" w:eastAsia="仿宋_GB2312" w:cs="仿宋_GB2312"/>
          <w:sz w:val="32"/>
          <w:szCs w:val="32"/>
          <w:highlight w:val="none"/>
          <w:lang w:val="en-US" w:eastAsia="zh-CN"/>
        </w:rPr>
        <w:t>张云霞</w:t>
      </w:r>
      <w:r>
        <w:rPr>
          <w:rFonts w:hint="eastAsia" w:ascii="仿宋_GB2312" w:hAnsi="仿宋_GB2312" w:eastAsia="仿宋_GB2312" w:cs="仿宋_GB2312"/>
          <w:sz w:val="32"/>
          <w:szCs w:val="32"/>
          <w:highlight w:val="none"/>
        </w:rPr>
        <w:t xml:space="preserve">               联系电话：</w:t>
      </w:r>
      <w:r>
        <w:rPr>
          <w:rFonts w:hint="eastAsia" w:ascii="仿宋_GB2312" w:hAnsi="仿宋_GB2312" w:eastAsia="仿宋_GB2312" w:cs="仿宋_GB2312"/>
          <w:sz w:val="32"/>
          <w:szCs w:val="32"/>
          <w:highlight w:val="none"/>
          <w:lang w:val="en-US" w:eastAsia="zh-CN"/>
        </w:rPr>
        <w:t>13754088228</w:t>
      </w:r>
    </w:p>
    <w:p w14:paraId="6C1DACB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D03771-8B17-4987-9EB7-8CD023ABD77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F00FF21-A5CC-4D2E-8207-DA02F03EABC7}"/>
  </w:font>
  <w:font w:name="方正小标宋简体">
    <w:panose1 w:val="02000000000000000000"/>
    <w:charset w:val="86"/>
    <w:family w:val="auto"/>
    <w:pitch w:val="default"/>
    <w:sig w:usb0="00000001" w:usb1="08000000" w:usb2="00000000" w:usb3="00000000" w:csb0="00040000" w:csb1="00000000"/>
    <w:embedRegular r:id="rId3" w:fontKey="{2569BB46-9683-4A87-9C59-C3E6E4A23A80}"/>
  </w:font>
  <w:font w:name="仿宋_GB2312">
    <w:altName w:val="仿宋"/>
    <w:panose1 w:val="02010609030101010101"/>
    <w:charset w:val="86"/>
    <w:family w:val="modern"/>
    <w:pitch w:val="default"/>
    <w:sig w:usb0="00000000" w:usb1="00000000" w:usb2="00000000" w:usb3="00000000" w:csb0="00040000" w:csb1="00000000"/>
    <w:embedRegular r:id="rId4" w:fontKey="{EB6B278B-D90F-4B69-BE58-F7945A8CE10D}"/>
  </w:font>
  <w:font w:name="仿宋">
    <w:panose1 w:val="02010609060101010101"/>
    <w:charset w:val="86"/>
    <w:family w:val="auto"/>
    <w:pitch w:val="default"/>
    <w:sig w:usb0="800002BF" w:usb1="38CF7CFA" w:usb2="00000016" w:usb3="00000000" w:csb0="00040001" w:csb1="00000000"/>
    <w:embedRegular r:id="rId5" w:fontKey="{4A52E4FF-EEF6-4C42-B236-34C4AF5FDEC3}"/>
  </w:font>
  <w:font w:name="楷体_GB2312">
    <w:altName w:val="楷体"/>
    <w:panose1 w:val="02010609030101010101"/>
    <w:charset w:val="86"/>
    <w:family w:val="modern"/>
    <w:pitch w:val="default"/>
    <w:sig w:usb0="00000000" w:usb1="00000000" w:usb2="00000010" w:usb3="00000000" w:csb0="00040000" w:csb1="00000000"/>
    <w:embedRegular r:id="rId6" w:fontKey="{BE66D8FE-D0C9-44B4-8EBD-891A1E5DF312}"/>
  </w:font>
  <w:font w:name="楷体">
    <w:panose1 w:val="02010609060101010101"/>
    <w:charset w:val="86"/>
    <w:family w:val="auto"/>
    <w:pitch w:val="default"/>
    <w:sig w:usb0="800002BF" w:usb1="38CF7CFA" w:usb2="00000016" w:usb3="00000000" w:csb0="00040001" w:csb1="00000000"/>
    <w:embedRegular r:id="rId7" w:fontKey="{C3C2D7D9-B903-485E-8A3B-0D28107FCDFC}"/>
  </w:font>
  <w:font w:name="方正仿宋_GB2312">
    <w:altName w:val="仿宋"/>
    <w:panose1 w:val="02000000000000000000"/>
    <w:charset w:val="86"/>
    <w:family w:val="auto"/>
    <w:pitch w:val="default"/>
    <w:sig w:usb0="00000000" w:usb1="00000000" w:usb2="00000012" w:usb3="00000000" w:csb0="00040001" w:csb1="00000000"/>
    <w:embedRegular r:id="rId8" w:fontKey="{5DF50747-2BB9-49C6-8169-F88ED2E687BB}"/>
  </w:font>
  <w:font w:name="方正仿宋_GBK">
    <w:altName w:val="微软雅黑"/>
    <w:panose1 w:val="02000000000000000000"/>
    <w:charset w:val="86"/>
    <w:family w:val="auto"/>
    <w:pitch w:val="default"/>
    <w:sig w:usb0="00000000" w:usb1="00000000" w:usb2="00082016" w:usb3="00000000" w:csb0="00040001" w:csb1="00000000"/>
    <w:embedRegular r:id="rId9" w:fontKey="{5A414676-9E9F-434D-8DBA-2456EDCE0D36}"/>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embedRegular r:id="rId10" w:fontKey="{E4AFCEC1-4732-491B-A35C-41DEB87FC0E6}"/>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885277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4BE94">
    <w:pPr>
      <w:pStyle w:val="6"/>
      <w:jc w:val="center"/>
    </w:pPr>
    <w:r>
      <mc:AlternateContent>
        <mc:Choice Requires="wps">
          <w:drawing>
            <wp:anchor distT="0" distB="0" distL="114300" distR="114300" simplePos="0" relativeHeight="251659264" behindDoc="0" locked="0" layoutInCell="1" allowOverlap="1">
              <wp:simplePos x="0" y="0"/>
              <wp:positionH relativeFrom="margin">
                <wp:posOffset>2600960</wp:posOffset>
              </wp:positionH>
              <wp:positionV relativeFrom="paragraph">
                <wp:posOffset>17780</wp:posOffset>
              </wp:positionV>
              <wp:extent cx="795655" cy="3517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95655" cy="3517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8F3BC">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- 4 -</w:t>
                          </w:r>
                          <w:r>
                            <w:rPr>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4.8pt;margin-top:1.4pt;height:27.7pt;width:62.65pt;mso-position-horizontal-relative:margin;z-index:251659264;mso-width-relative:page;mso-height-relative:page;" filled="f" stroked="f" coordsize="21600,21600" o:gfxdata="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pe6y7XAAAACAEAAA8AAAAAAAAAAQAgAAAAIgAAAGRycy9kb3ducmV2LnhtbFBL&#10;AQIUABQAAAAIAIdO4kDr0pWXMAIAAFUEAAAOAAAAAAAAAAEAIAAAACYBAABkcnMvZTJvRG9jLnht&#10;bFBLBQYAAAAABgAGAFkBAADIBQAAAAA=&#10;">
              <v:fill on="f" focussize="0,0"/>
              <v:stroke on="f" weight="0.5pt"/>
              <v:imagedata o:title=""/>
              <o:lock v:ext="edit" aspectratio="f"/>
              <v:textbox inset="0mm,0mm,0mm,0mm">
                <w:txbxContent>
                  <w:p w14:paraId="1348F3BC">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- 4 -</w:t>
                    </w:r>
                    <w:r>
                      <w:rPr>
                        <w:sz w:val="24"/>
                        <w:szCs w:val="24"/>
                      </w:rPr>
                      <w:fldChar w:fldCharType="end"/>
                    </w:r>
                  </w:p>
                </w:txbxContent>
              </v:textbox>
            </v:shape>
          </w:pict>
        </mc:Fallback>
      </mc:AlternateContent>
    </w:r>
  </w:p>
  <w:p w14:paraId="1D80DA62">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36840">
    <w:pPr>
      <w:ind w:left="6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9044E1"/>
    <w:multiLevelType w:val="singleLevel"/>
    <w:tmpl w:val="AE9044E1"/>
    <w:lvl w:ilvl="0" w:tentative="0">
      <w:start w:val="1"/>
      <w:numFmt w:val="decimal"/>
      <w:suff w:val="nothing"/>
      <w:lvlText w:val="%1、"/>
      <w:lvlJc w:val="left"/>
    </w:lvl>
  </w:abstractNum>
  <w:abstractNum w:abstractNumId="1">
    <w:nsid w:val="3265B7C3"/>
    <w:multiLevelType w:val="singleLevel"/>
    <w:tmpl w:val="3265B7C3"/>
    <w:lvl w:ilvl="0" w:tentative="0">
      <w:start w:val="1"/>
      <w:numFmt w:val="chineseCounting"/>
      <w:suff w:val="nothing"/>
      <w:lvlText w:val="%1、"/>
      <w:lvlJc w:val="left"/>
      <w:rPr>
        <w:rFonts w:hint="eastAsia"/>
      </w:rPr>
    </w:lvl>
  </w:abstractNum>
  <w:abstractNum w:abstractNumId="2">
    <w:nsid w:val="50C15E5F"/>
    <w:multiLevelType w:val="singleLevel"/>
    <w:tmpl w:val="50C15E5F"/>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hMjdlOWVlOWY3MmIwZmFmNGI4MTBkNWFkODQ0ZjgifQ=="/>
  </w:docVars>
  <w:rsids>
    <w:rsidRoot w:val="2AAE40B8"/>
    <w:rsid w:val="0002117A"/>
    <w:rsid w:val="002B247F"/>
    <w:rsid w:val="015123B9"/>
    <w:rsid w:val="019E3125"/>
    <w:rsid w:val="02447828"/>
    <w:rsid w:val="032633D2"/>
    <w:rsid w:val="034C108A"/>
    <w:rsid w:val="036D1000"/>
    <w:rsid w:val="0381685A"/>
    <w:rsid w:val="03A74512"/>
    <w:rsid w:val="04437FD0"/>
    <w:rsid w:val="045126D0"/>
    <w:rsid w:val="045E61D6"/>
    <w:rsid w:val="05972365"/>
    <w:rsid w:val="05A56B6B"/>
    <w:rsid w:val="06274119"/>
    <w:rsid w:val="06677F89"/>
    <w:rsid w:val="07414C7E"/>
    <w:rsid w:val="074D717F"/>
    <w:rsid w:val="082C3238"/>
    <w:rsid w:val="085A5A05"/>
    <w:rsid w:val="085A6F61"/>
    <w:rsid w:val="09436A36"/>
    <w:rsid w:val="098B0432"/>
    <w:rsid w:val="0992356F"/>
    <w:rsid w:val="0B61253D"/>
    <w:rsid w:val="0BFA53FB"/>
    <w:rsid w:val="0C4A2FE4"/>
    <w:rsid w:val="0C8B246A"/>
    <w:rsid w:val="0E5928AD"/>
    <w:rsid w:val="0E654555"/>
    <w:rsid w:val="0FFC1742"/>
    <w:rsid w:val="10072DFF"/>
    <w:rsid w:val="100D7DF3"/>
    <w:rsid w:val="10266267"/>
    <w:rsid w:val="10340142"/>
    <w:rsid w:val="103510F8"/>
    <w:rsid w:val="118714DF"/>
    <w:rsid w:val="123A4592"/>
    <w:rsid w:val="128A63ED"/>
    <w:rsid w:val="128D446D"/>
    <w:rsid w:val="13F5606B"/>
    <w:rsid w:val="1417033E"/>
    <w:rsid w:val="1478625E"/>
    <w:rsid w:val="14DC75FE"/>
    <w:rsid w:val="14ED1FA1"/>
    <w:rsid w:val="15602773"/>
    <w:rsid w:val="15A975EE"/>
    <w:rsid w:val="175E459A"/>
    <w:rsid w:val="18E84F59"/>
    <w:rsid w:val="196A74EF"/>
    <w:rsid w:val="1A19539C"/>
    <w:rsid w:val="1A393593"/>
    <w:rsid w:val="1ACD2659"/>
    <w:rsid w:val="1BA86C22"/>
    <w:rsid w:val="1CA078F9"/>
    <w:rsid w:val="1D44297A"/>
    <w:rsid w:val="1D456945"/>
    <w:rsid w:val="1D8C0E02"/>
    <w:rsid w:val="1E74728F"/>
    <w:rsid w:val="1ED60583"/>
    <w:rsid w:val="1F0960BD"/>
    <w:rsid w:val="1F7A08D5"/>
    <w:rsid w:val="202C43E4"/>
    <w:rsid w:val="213114B9"/>
    <w:rsid w:val="21555156"/>
    <w:rsid w:val="217A6F4E"/>
    <w:rsid w:val="21823A31"/>
    <w:rsid w:val="218D141D"/>
    <w:rsid w:val="21DC7625"/>
    <w:rsid w:val="223E208E"/>
    <w:rsid w:val="227B299A"/>
    <w:rsid w:val="227E248B"/>
    <w:rsid w:val="22DD18A7"/>
    <w:rsid w:val="24443260"/>
    <w:rsid w:val="256C6F12"/>
    <w:rsid w:val="26FC6074"/>
    <w:rsid w:val="27EE00B2"/>
    <w:rsid w:val="280B47C0"/>
    <w:rsid w:val="282633A8"/>
    <w:rsid w:val="286E4D4F"/>
    <w:rsid w:val="28706D19"/>
    <w:rsid w:val="28A95D87"/>
    <w:rsid w:val="29826D04"/>
    <w:rsid w:val="29C4645F"/>
    <w:rsid w:val="29E76B67"/>
    <w:rsid w:val="2AAE40B8"/>
    <w:rsid w:val="2B4D4859"/>
    <w:rsid w:val="2B5621F6"/>
    <w:rsid w:val="2BC03B14"/>
    <w:rsid w:val="2C762092"/>
    <w:rsid w:val="2C9F2793"/>
    <w:rsid w:val="2CA41638"/>
    <w:rsid w:val="2CAA48B6"/>
    <w:rsid w:val="2D4B38B1"/>
    <w:rsid w:val="2D5261BC"/>
    <w:rsid w:val="2E2670DA"/>
    <w:rsid w:val="2EA25753"/>
    <w:rsid w:val="2F4F1437"/>
    <w:rsid w:val="2F854862"/>
    <w:rsid w:val="30D8545C"/>
    <w:rsid w:val="30EB33E1"/>
    <w:rsid w:val="30FA53DF"/>
    <w:rsid w:val="317315D3"/>
    <w:rsid w:val="317F7304"/>
    <w:rsid w:val="31C37EBA"/>
    <w:rsid w:val="31D676E2"/>
    <w:rsid w:val="32695BC1"/>
    <w:rsid w:val="32F12805"/>
    <w:rsid w:val="333500F5"/>
    <w:rsid w:val="334119DE"/>
    <w:rsid w:val="34580D8D"/>
    <w:rsid w:val="347D25A2"/>
    <w:rsid w:val="34916523"/>
    <w:rsid w:val="34D80120"/>
    <w:rsid w:val="35A52744"/>
    <w:rsid w:val="36317AE8"/>
    <w:rsid w:val="369C2081"/>
    <w:rsid w:val="36BB1AA7"/>
    <w:rsid w:val="3839605A"/>
    <w:rsid w:val="389A2D2B"/>
    <w:rsid w:val="391A56D5"/>
    <w:rsid w:val="39260D31"/>
    <w:rsid w:val="39337797"/>
    <w:rsid w:val="39B7532B"/>
    <w:rsid w:val="3A28011E"/>
    <w:rsid w:val="3AAC1E33"/>
    <w:rsid w:val="3AD4054D"/>
    <w:rsid w:val="3AE113B1"/>
    <w:rsid w:val="3AEB1E83"/>
    <w:rsid w:val="3B554279"/>
    <w:rsid w:val="3B556027"/>
    <w:rsid w:val="3B950B19"/>
    <w:rsid w:val="3BD67C19"/>
    <w:rsid w:val="3C682699"/>
    <w:rsid w:val="3D53184A"/>
    <w:rsid w:val="3D8E3FC9"/>
    <w:rsid w:val="3DB6357F"/>
    <w:rsid w:val="3DDD2303"/>
    <w:rsid w:val="3E2942CF"/>
    <w:rsid w:val="3E3218B6"/>
    <w:rsid w:val="3EE6343A"/>
    <w:rsid w:val="40754A75"/>
    <w:rsid w:val="40FB1372"/>
    <w:rsid w:val="4121592C"/>
    <w:rsid w:val="42641245"/>
    <w:rsid w:val="432307B8"/>
    <w:rsid w:val="43553283"/>
    <w:rsid w:val="43D87FA5"/>
    <w:rsid w:val="442C5D93"/>
    <w:rsid w:val="44A122DD"/>
    <w:rsid w:val="44FF0DB1"/>
    <w:rsid w:val="45237196"/>
    <w:rsid w:val="453F4B2C"/>
    <w:rsid w:val="482A0828"/>
    <w:rsid w:val="49431BB4"/>
    <w:rsid w:val="49E07403"/>
    <w:rsid w:val="49ED7C34"/>
    <w:rsid w:val="4A340D7B"/>
    <w:rsid w:val="4A6E33DF"/>
    <w:rsid w:val="4A9D70A2"/>
    <w:rsid w:val="4B02784D"/>
    <w:rsid w:val="4BFB752B"/>
    <w:rsid w:val="4C59349D"/>
    <w:rsid w:val="4C806C7C"/>
    <w:rsid w:val="4CC530AB"/>
    <w:rsid w:val="4D13189E"/>
    <w:rsid w:val="4D3C54DA"/>
    <w:rsid w:val="4DAF38DA"/>
    <w:rsid w:val="4DCA589B"/>
    <w:rsid w:val="4DCB0D6B"/>
    <w:rsid w:val="4E320449"/>
    <w:rsid w:val="4ED07AB5"/>
    <w:rsid w:val="4F1D2E5C"/>
    <w:rsid w:val="4F542EE9"/>
    <w:rsid w:val="50373AF5"/>
    <w:rsid w:val="509203FA"/>
    <w:rsid w:val="512027DB"/>
    <w:rsid w:val="513F7105"/>
    <w:rsid w:val="523F4EE3"/>
    <w:rsid w:val="52795F9D"/>
    <w:rsid w:val="52E76D06"/>
    <w:rsid w:val="53732534"/>
    <w:rsid w:val="53D8739D"/>
    <w:rsid w:val="54202196"/>
    <w:rsid w:val="542F034F"/>
    <w:rsid w:val="543D7076"/>
    <w:rsid w:val="545A24A8"/>
    <w:rsid w:val="55150D50"/>
    <w:rsid w:val="55C549B8"/>
    <w:rsid w:val="55DB79C3"/>
    <w:rsid w:val="563665FD"/>
    <w:rsid w:val="56E12A0D"/>
    <w:rsid w:val="57396B47"/>
    <w:rsid w:val="57574A7D"/>
    <w:rsid w:val="57646649"/>
    <w:rsid w:val="57F81DBC"/>
    <w:rsid w:val="596D67DA"/>
    <w:rsid w:val="598D0C2A"/>
    <w:rsid w:val="59B85CA7"/>
    <w:rsid w:val="59F60465"/>
    <w:rsid w:val="5A04411C"/>
    <w:rsid w:val="5AC468CD"/>
    <w:rsid w:val="5AEA62E5"/>
    <w:rsid w:val="5B4A7D20"/>
    <w:rsid w:val="5B5419FF"/>
    <w:rsid w:val="5B70610D"/>
    <w:rsid w:val="5B81031A"/>
    <w:rsid w:val="5BB339D4"/>
    <w:rsid w:val="5BC621D1"/>
    <w:rsid w:val="5CA644DC"/>
    <w:rsid w:val="5CD01559"/>
    <w:rsid w:val="5CD23FAA"/>
    <w:rsid w:val="5D3F4DA5"/>
    <w:rsid w:val="5D8365CC"/>
    <w:rsid w:val="5DD9443E"/>
    <w:rsid w:val="5DEC1AEA"/>
    <w:rsid w:val="5E3E0745"/>
    <w:rsid w:val="5F17346F"/>
    <w:rsid w:val="5F6D40D3"/>
    <w:rsid w:val="5F855577"/>
    <w:rsid w:val="5FA478B2"/>
    <w:rsid w:val="5FB20A90"/>
    <w:rsid w:val="5FF7504F"/>
    <w:rsid w:val="607C09C6"/>
    <w:rsid w:val="608A1A1F"/>
    <w:rsid w:val="60C5514D"/>
    <w:rsid w:val="61E648C2"/>
    <w:rsid w:val="61F21F72"/>
    <w:rsid w:val="62917095"/>
    <w:rsid w:val="62E50153"/>
    <w:rsid w:val="634342D2"/>
    <w:rsid w:val="63716EC6"/>
    <w:rsid w:val="639771AD"/>
    <w:rsid w:val="64020EED"/>
    <w:rsid w:val="643B2EEC"/>
    <w:rsid w:val="64764597"/>
    <w:rsid w:val="665B7F56"/>
    <w:rsid w:val="67544B35"/>
    <w:rsid w:val="68437083"/>
    <w:rsid w:val="68C55CEA"/>
    <w:rsid w:val="69124CA8"/>
    <w:rsid w:val="69AC2A06"/>
    <w:rsid w:val="69F76313"/>
    <w:rsid w:val="6A9A5A54"/>
    <w:rsid w:val="6AC67AF8"/>
    <w:rsid w:val="6CF50B68"/>
    <w:rsid w:val="6D6D6950"/>
    <w:rsid w:val="6D837F22"/>
    <w:rsid w:val="6D8C327A"/>
    <w:rsid w:val="6DEA1D4F"/>
    <w:rsid w:val="6E056B89"/>
    <w:rsid w:val="6E0C0999"/>
    <w:rsid w:val="6E922B12"/>
    <w:rsid w:val="6EE91E80"/>
    <w:rsid w:val="6F5C413C"/>
    <w:rsid w:val="6F6D3884"/>
    <w:rsid w:val="6F76453C"/>
    <w:rsid w:val="6F7E3097"/>
    <w:rsid w:val="6FCC3E6E"/>
    <w:rsid w:val="705F4C76"/>
    <w:rsid w:val="706B6351"/>
    <w:rsid w:val="707D334E"/>
    <w:rsid w:val="70A94143"/>
    <w:rsid w:val="70F5346D"/>
    <w:rsid w:val="715B3540"/>
    <w:rsid w:val="71881FAB"/>
    <w:rsid w:val="72AC1AF1"/>
    <w:rsid w:val="72AC4AF6"/>
    <w:rsid w:val="72B92358"/>
    <w:rsid w:val="74061450"/>
    <w:rsid w:val="742541DA"/>
    <w:rsid w:val="74982505"/>
    <w:rsid w:val="754E52B9"/>
    <w:rsid w:val="759E47B7"/>
    <w:rsid w:val="75A373B3"/>
    <w:rsid w:val="75C90F3B"/>
    <w:rsid w:val="76053BCA"/>
    <w:rsid w:val="76261D92"/>
    <w:rsid w:val="77261019"/>
    <w:rsid w:val="77C655DB"/>
    <w:rsid w:val="77D637C2"/>
    <w:rsid w:val="785B21C7"/>
    <w:rsid w:val="785D2CC2"/>
    <w:rsid w:val="78D35FB1"/>
    <w:rsid w:val="790939D1"/>
    <w:rsid w:val="79A74F98"/>
    <w:rsid w:val="79F00D50"/>
    <w:rsid w:val="7A340F22"/>
    <w:rsid w:val="7AC202DC"/>
    <w:rsid w:val="7AD825E9"/>
    <w:rsid w:val="7B2D1FC6"/>
    <w:rsid w:val="7B694BFB"/>
    <w:rsid w:val="7B95355A"/>
    <w:rsid w:val="7B9B0B2D"/>
    <w:rsid w:val="7C445F6B"/>
    <w:rsid w:val="7C457B7C"/>
    <w:rsid w:val="7D3A5CA3"/>
    <w:rsid w:val="7D4776B6"/>
    <w:rsid w:val="7D6B2EAC"/>
    <w:rsid w:val="7E676553"/>
    <w:rsid w:val="7E7A413F"/>
    <w:rsid w:val="7FD05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Courier New" w:cs="Times New Roman"/>
      <w:kern w:val="2"/>
      <w:sz w:val="21"/>
      <w:szCs w:val="21"/>
      <w:lang w:val="en-US" w:eastAsia="zh-CN" w:bidi="ar-SA"/>
    </w:rPr>
  </w:style>
  <w:style w:type="paragraph" w:styleId="2">
    <w:name w:val="heading 1"/>
    <w:basedOn w:val="1"/>
    <w:next w:val="1"/>
    <w:qFormat/>
    <w:uiPriority w:val="1"/>
    <w:pPr>
      <w:keepNext/>
      <w:keepLines/>
      <w:spacing w:before="340" w:after="330" w:line="576" w:lineRule="auto"/>
      <w:outlineLvl w:val="0"/>
    </w:pPr>
    <w:rPr>
      <w:b/>
      <w:kern w:val="44"/>
      <w:sz w:val="44"/>
    </w:rPr>
  </w:style>
  <w:style w:type="paragraph" w:styleId="3">
    <w:name w:val="heading 2"/>
    <w:basedOn w:val="1"/>
    <w:next w:val="1"/>
    <w:qFormat/>
    <w:uiPriority w:val="1"/>
    <w:pPr>
      <w:keepNext/>
      <w:keepLines/>
      <w:adjustRightInd w:val="0"/>
      <w:snapToGrid w:val="0"/>
      <w:spacing w:before="260" w:after="260" w:line="416" w:lineRule="auto"/>
      <w:ind w:firstLine="600" w:firstLineChars="200"/>
      <w:outlineLvl w:val="1"/>
    </w:pPr>
    <w:rPr>
      <w:rFonts w:ascii="Arial" w:hAnsi="Arial" w:eastAsia="Symbol"/>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unhideWhenUsed/>
    <w:qFormat/>
    <w:uiPriority w:val="1"/>
    <w:pPr>
      <w:spacing w:after="120"/>
    </w:pPr>
  </w:style>
  <w:style w:type="paragraph" w:styleId="5">
    <w:name w:val="Body Text Indent"/>
    <w:basedOn w:val="1"/>
    <w:qFormat/>
    <w:uiPriority w:val="0"/>
    <w:pPr>
      <w:spacing w:after="120"/>
      <w:ind w:left="420" w:leftChars="200"/>
      <w:jc w:val="left"/>
    </w:pPr>
    <w:rPr>
      <w:rFonts w:hint="eastAsia" w:ascii="宋体" w:hAnsi="宋体" w:eastAsia="宋体"/>
      <w:kern w:val="0"/>
      <w:sz w:val="24"/>
      <w:szCs w:val="24"/>
    </w:rPr>
  </w:style>
  <w:style w:type="paragraph" w:styleId="6">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Body Text 2"/>
    <w:basedOn w:val="1"/>
    <w:qFormat/>
    <w:uiPriority w:val="0"/>
    <w:pPr>
      <w:spacing w:line="480" w:lineRule="auto"/>
    </w:pPr>
  </w:style>
  <w:style w:type="paragraph" w:styleId="8">
    <w:name w:val="Body Text First Indent 2"/>
    <w:basedOn w:val="5"/>
    <w:qFormat/>
    <w:uiPriority w:val="0"/>
    <w:pPr>
      <w:ind w:firstLine="420"/>
    </w:p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收入预算</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一般公共预算收入</c:v>
                </c:pt>
                <c:pt idx="1">
                  <c:v>政府性基金预算收入</c:v>
                </c:pt>
                <c:pt idx="2">
                  <c:v>国有资本经营预算收入 </c:v>
                </c:pt>
                <c:pt idx="3">
                  <c:v>上年结转结余的政府性基金预算收入</c:v>
                </c:pt>
              </c:strCache>
            </c:strRef>
          </c:cat>
          <c:val>
            <c:numRef>
              <c:f>Sheet1!$B$2:$B$5</c:f>
              <c:numCache>
                <c:formatCode>General</c:formatCode>
                <c:ptCount val="4"/>
                <c:pt idx="0">
                  <c:v>0</c:v>
                </c:pt>
                <c:pt idx="2">
                  <c:v>0</c:v>
                </c:pt>
                <c:pt idx="3">
                  <c:v>229.1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b67f9e0-9487-4c3a-92c4-678eca758fa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支出预算</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基本支出</c:v>
                </c:pt>
                <c:pt idx="1">
                  <c:v>项目支出</c:v>
                </c:pt>
                <c:pt idx="2">
                  <c:v>事业单位经营支出</c:v>
                </c:pt>
                <c:pt idx="3">
                  <c:v>上缴上级支出</c:v>
                </c:pt>
              </c:strCache>
            </c:strRef>
          </c:cat>
          <c:val>
            <c:numRef>
              <c:f>Sheet1!$B$2:$B$5</c:f>
              <c:numCache>
                <c:formatCode>General</c:formatCode>
                <c:ptCount val="4"/>
                <c:pt idx="0">
                  <c:v>0</c:v>
                </c:pt>
                <c:pt idx="1">
                  <c:v>229.1</c:v>
                </c:pt>
                <c:pt idx="2">
                  <c:v>0</c:v>
                </c:pt>
                <c:pt idx="3">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bc78eb1-1890-4cdf-8584-d9baa5a61f2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4865</Words>
  <Characters>5057</Characters>
  <Lines>0</Lines>
  <Paragraphs>0</Paragraphs>
  <TotalTime>0</TotalTime>
  <ScaleCrop>false</ScaleCrop>
  <LinksUpToDate>false</LinksUpToDate>
  <CharactersWithSpaces>5736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2023-11-08T02:58:00Z</dcterms:created>
  <dc:creator>a</dc:creator>
  <cp:lastModifiedBy>静若繁花</cp:lastModifiedBy>
  <dcterms:modified xsi:type="dcterms:W3CDTF">2026-02-24T03:11:41Z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162DD33512E64EDE93D811071F61174D_13</vt:lpwstr>
  </property>
  <property fmtid="{D5CDD505-2E9C-101B-9397-08002B2CF9AE}" pid="4" name="KSOTemplateDocerSaveRecord">
    <vt:lpwstr>eyJoZGlkIjoiYWNhY2RhNzg3ODVhMzBhZmY4YjI4NTZmZmU3ZjNmM2MiLCJ1c2VySWQiOiIyNDAyNjUwMjkifQ==</vt:lpwstr>
  </property>
</Properties>
</file>